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CC7395" w14:paraId="131B86C3" w14:textId="77777777" w:rsidTr="002A19A5">
        <w:trPr>
          <w:trHeight w:val="652"/>
          <w:jc w:val="center"/>
        </w:trPr>
        <w:tc>
          <w:tcPr>
            <w:tcW w:w="3335" w:type="dxa"/>
            <w:tcBorders>
              <w:right w:val="single" w:sz="4" w:space="0" w:color="44546A" w:themeColor="text2"/>
            </w:tcBorders>
            <w:shd w:val="clear" w:color="auto" w:fill="1F3864" w:themeFill="accent1" w:themeFillShade="80"/>
          </w:tcPr>
          <w:p w14:paraId="5363BE27" w14:textId="77777777" w:rsidR="005623FD" w:rsidRDefault="005623FD" w:rsidP="005623FD">
            <w:pPr>
              <w:jc w:val="center"/>
              <w:rPr>
                <w:rFonts w:cs="Arial"/>
                <w:color w:val="FFFFFF" w:themeColor="background1"/>
                <w:sz w:val="32"/>
                <w:szCs w:val="32"/>
                <w:shd w:val="clear" w:color="auto" w:fill="1F3864" w:themeFill="accent1" w:themeFillShade="80"/>
                <w:lang w:val="en-US"/>
              </w:rPr>
            </w:pPr>
          </w:p>
          <w:p w14:paraId="3C4BDBF4" w14:textId="316A5451" w:rsidR="005623FD" w:rsidRPr="00906B87" w:rsidRDefault="005623FD" w:rsidP="005623FD">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874B9">
              <w:rPr>
                <w:rFonts w:cs="Arial"/>
                <w:color w:val="FFFFFF" w:themeColor="background1"/>
                <w:sz w:val="32"/>
                <w:szCs w:val="32"/>
                <w:shd w:val="clear" w:color="auto" w:fill="1F3864" w:themeFill="accent1" w:themeFillShade="80"/>
                <w:lang w:val="en-US"/>
              </w:rPr>
              <w:t>contribution</w:t>
            </w:r>
          </w:p>
          <w:p w14:paraId="53B8847D" w14:textId="1D44CA83" w:rsidR="00742FA8" w:rsidRDefault="00742FA8" w:rsidP="005623FD">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73B18AA6" w14:textId="77777777" w:rsidR="005623FD" w:rsidRDefault="005623FD" w:rsidP="00906B87">
            <w:pPr>
              <w:jc w:val="center"/>
              <w:rPr>
                <w:rFonts w:cs="Arial"/>
                <w:color w:val="FFFFFF" w:themeColor="background1"/>
                <w:sz w:val="32"/>
                <w:szCs w:val="32"/>
                <w:shd w:val="clear" w:color="auto" w:fill="1F3864" w:themeFill="accent1" w:themeFillShade="80"/>
                <w:lang w:val="en-US"/>
              </w:rPr>
            </w:pPr>
          </w:p>
          <w:p w14:paraId="720499DE" w14:textId="70467C57" w:rsidR="00742FA8" w:rsidRPr="00906B87" w:rsidRDefault="005623FD"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AF0FCF">
              <w:rPr>
                <w:rFonts w:cs="Arial"/>
                <w:color w:val="FFFFFF" w:themeColor="background1"/>
                <w:sz w:val="32"/>
                <w:szCs w:val="32"/>
                <w:shd w:val="clear" w:color="auto" w:fill="1F3864" w:themeFill="accent1" w:themeFillShade="80"/>
                <w:lang w:val="en-US"/>
              </w:rPr>
              <w:t>3</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CC535F" w14:paraId="425D15D4" w14:textId="77777777" w:rsidTr="002A19A5">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623FD" w:rsidRDefault="005728A3" w:rsidP="005728A3">
            <w:pPr>
              <w:jc w:val="right"/>
              <w:rPr>
                <w:rFonts w:cstheme="minorHAnsi"/>
                <w:b/>
                <w:bCs/>
                <w:color w:val="002060"/>
                <w:sz w:val="28"/>
                <w:szCs w:val="28"/>
                <w:lang w:val="en-US"/>
              </w:rPr>
            </w:pPr>
            <w:r w:rsidRPr="005623FD">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0E540540" w14:textId="649F6745" w:rsidR="007874B9" w:rsidRDefault="007874B9">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A19A5">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8B59D78" w:rsidR="006D3771" w:rsidRPr="006D3771" w:rsidRDefault="00AC541D" w:rsidP="006D3771">
            <w:pPr>
              <w:jc w:val="center"/>
              <w:rPr>
                <w:sz w:val="32"/>
                <w:szCs w:val="32"/>
                <w:lang w:val="en-US"/>
              </w:rPr>
            </w:pPr>
            <w:r>
              <w:rPr>
                <w:sz w:val="32"/>
                <w:szCs w:val="32"/>
                <w:lang w:val="en-US"/>
              </w:rPr>
              <w:t>G</w:t>
            </w:r>
            <w:r w:rsidR="00F91B36">
              <w:rPr>
                <w:sz w:val="32"/>
                <w:szCs w:val="32"/>
                <w:lang w:val="en-US"/>
              </w:rPr>
              <w:t>reece</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E109EC0" w:rsidR="004A628B" w:rsidRDefault="004A628B" w:rsidP="004A628B">
      <w:pPr>
        <w:pStyle w:val="Default"/>
        <w:ind w:left="1080"/>
        <w:rPr>
          <w:color w:val="auto"/>
          <w:sz w:val="22"/>
          <w:szCs w:val="22"/>
          <w:lang w:val="en-US"/>
        </w:rPr>
      </w:pPr>
    </w:p>
    <w:p w14:paraId="01BD81F3" w14:textId="77777777" w:rsidR="00430CCD" w:rsidRPr="007874B9" w:rsidRDefault="00F13026" w:rsidP="00430CCD">
      <w:pPr>
        <w:rPr>
          <w:rStyle w:val="Hyperlink"/>
          <w:lang w:val="en-US"/>
        </w:rPr>
      </w:pPr>
      <w:hyperlink r:id="rId9" w:history="1">
        <w:r w:rsidR="00430CCD" w:rsidRPr="007874B9">
          <w:rPr>
            <w:rStyle w:val="Hyperlink"/>
            <w:lang w:val="en-US"/>
          </w:rPr>
          <w:t>CEPEJ Evaluation Report 2022 - Country Profile Greece</w:t>
        </w:r>
      </w:hyperlink>
    </w:p>
    <w:p w14:paraId="5E2EF342" w14:textId="77777777" w:rsidR="00430CCD" w:rsidRPr="007874B9" w:rsidRDefault="00430CCD" w:rsidP="00430CCD">
      <w:pPr>
        <w:rPr>
          <w:lang w:val="en-GB"/>
        </w:rPr>
      </w:pPr>
    </w:p>
    <w:p w14:paraId="3F55A559" w14:textId="1E59007C" w:rsidR="00430CCD" w:rsidRPr="007874B9" w:rsidRDefault="00F13026" w:rsidP="00430CCD">
      <w:pPr>
        <w:pStyle w:val="Default"/>
        <w:jc w:val="both"/>
        <w:rPr>
          <w:color w:val="auto"/>
          <w:sz w:val="20"/>
          <w:szCs w:val="20"/>
          <w:lang w:val="en-US"/>
        </w:rPr>
      </w:pPr>
      <w:hyperlink r:id="rId10" w:history="1">
        <w:r w:rsidR="00430CCD" w:rsidRPr="007874B9">
          <w:rPr>
            <w:rStyle w:val="Hyperlink"/>
            <w:sz w:val="20"/>
            <w:szCs w:val="20"/>
            <w:lang w:val="en-GB"/>
          </w:rPr>
          <w:t>CEPEJ/Scoreboard - Country profile Greece</w:t>
        </w:r>
      </w:hyperlink>
      <w:r w:rsidR="00430CCD" w:rsidRPr="007874B9">
        <w:rPr>
          <w:color w:val="auto"/>
          <w:sz w:val="20"/>
          <w:szCs w:val="20"/>
          <w:lang w:val="en-US"/>
        </w:rPr>
        <w:t xml:space="preserve"> </w:t>
      </w:r>
    </w:p>
    <w:p w14:paraId="53B50D64" w14:textId="77777777" w:rsidR="00430CCD" w:rsidRPr="007874B9" w:rsidRDefault="00430CCD" w:rsidP="00430CCD">
      <w:pPr>
        <w:pStyle w:val="Default"/>
        <w:jc w:val="both"/>
        <w:rPr>
          <w:color w:val="auto"/>
          <w:sz w:val="20"/>
          <w:szCs w:val="20"/>
          <w:lang w:val="en-US"/>
        </w:rPr>
      </w:pPr>
    </w:p>
    <w:p w14:paraId="5EA72DAD" w14:textId="57745B41" w:rsidR="00C8701B" w:rsidRPr="007874B9" w:rsidRDefault="00F13026" w:rsidP="00430CCD">
      <w:pPr>
        <w:pStyle w:val="Default"/>
        <w:rPr>
          <w:rStyle w:val="Hyperlink"/>
          <w:rFonts w:eastAsia="Times New Roman"/>
          <w:sz w:val="20"/>
          <w:szCs w:val="20"/>
          <w:lang w:val="en-GB"/>
        </w:rPr>
      </w:pPr>
      <w:hyperlink r:id="rId11" w:history="1">
        <w:r w:rsidR="00430CCD" w:rsidRPr="007874B9">
          <w:rPr>
            <w:rStyle w:val="Hyperlink"/>
            <w:rFonts w:eastAsia="Times New Roman"/>
            <w:sz w:val="20"/>
            <w:szCs w:val="20"/>
            <w:lang w:val="en-GB"/>
          </w:rPr>
          <w:t>CEPEJ General Country profile - Greece</w:t>
        </w:r>
      </w:hyperlink>
    </w:p>
    <w:p w14:paraId="21A19613" w14:textId="4F070CED" w:rsidR="00471313" w:rsidRPr="007874B9" w:rsidRDefault="00471313" w:rsidP="00430CCD">
      <w:pPr>
        <w:pStyle w:val="Default"/>
        <w:rPr>
          <w:rStyle w:val="Hyperlink"/>
          <w:rFonts w:eastAsia="Times New Roman"/>
          <w:sz w:val="20"/>
          <w:szCs w:val="20"/>
          <w:lang w:val="en-GB"/>
        </w:rPr>
      </w:pPr>
    </w:p>
    <w:p w14:paraId="0920F64E" w14:textId="24EBC5CA" w:rsidR="00A053C6" w:rsidRPr="007874B9" w:rsidRDefault="00F13026" w:rsidP="00A053C6">
      <w:pPr>
        <w:pStyle w:val="NoSpacing"/>
        <w:rPr>
          <w:rStyle w:val="Hyperlink"/>
          <w:rFonts w:ascii="Calibri" w:hAnsi="Calibri" w:cs="Calibri"/>
          <w:b/>
          <w:bCs/>
          <w:lang w:val="en-GB"/>
        </w:rPr>
      </w:pPr>
      <w:hyperlink r:id="rId12" w:history="1">
        <w:r w:rsidR="007874B9" w:rsidRPr="007874B9">
          <w:rPr>
            <w:rStyle w:val="Hyperlink"/>
            <w:rFonts w:ascii="Calibri" w:hAnsi="Calibri" w:cs="Calibri"/>
            <w:lang w:val="en-GB"/>
          </w:rPr>
          <w:t>GRECO E</w:t>
        </w:r>
        <w:r w:rsidR="00A053C6" w:rsidRPr="007874B9">
          <w:rPr>
            <w:rStyle w:val="Hyperlink"/>
            <w:rFonts w:ascii="Calibri" w:hAnsi="Calibri" w:cs="Calibri"/>
            <w:lang w:val="en-GB"/>
          </w:rPr>
          <w:t>valuation Report</w:t>
        </w:r>
      </w:hyperlink>
      <w:r w:rsidR="007874B9" w:rsidRPr="007874B9">
        <w:rPr>
          <w:rStyle w:val="Hyperlink"/>
          <w:rFonts w:ascii="Calibri" w:hAnsi="Calibri" w:cs="Calibri"/>
          <w:color w:val="auto"/>
          <w:u w:val="none"/>
          <w:lang w:val="en-GB"/>
        </w:rPr>
        <w:t xml:space="preserve"> (3 March 2022)</w:t>
      </w:r>
    </w:p>
    <w:p w14:paraId="1F037EBA" w14:textId="3606D1BF" w:rsidR="00A053C6" w:rsidRPr="007874B9" w:rsidRDefault="002A6FA4" w:rsidP="007874B9">
      <w:pPr>
        <w:rPr>
          <w:lang w:val="en-US"/>
        </w:rPr>
      </w:pPr>
      <w:r w:rsidRPr="007874B9">
        <w:rPr>
          <w:lang w:val="en-US"/>
        </w:rPr>
        <w:t>5</w:t>
      </w:r>
      <w:r w:rsidRPr="007874B9">
        <w:rPr>
          <w:vertAlign w:val="superscript"/>
          <w:lang w:val="en-US"/>
        </w:rPr>
        <w:t>th</w:t>
      </w:r>
      <w:r w:rsidRPr="007874B9">
        <w:rPr>
          <w:lang w:val="en-US"/>
        </w:rPr>
        <w:t xml:space="preserve"> round: corruption prevention in respect of central government, including the top executive functions, and law enforcement</w:t>
      </w:r>
    </w:p>
    <w:p w14:paraId="0228833D" w14:textId="77777777" w:rsidR="007874B9" w:rsidRPr="00CC535F" w:rsidRDefault="007874B9" w:rsidP="007874B9">
      <w:pPr>
        <w:pStyle w:val="NoSpacing"/>
        <w:rPr>
          <w:lang w:val="en-GB"/>
        </w:rPr>
      </w:pPr>
    </w:p>
    <w:p w14:paraId="740106E0" w14:textId="3EA95B83" w:rsidR="007874B9" w:rsidRPr="007874B9" w:rsidRDefault="00F13026" w:rsidP="007874B9">
      <w:pPr>
        <w:pStyle w:val="NoSpacing"/>
        <w:rPr>
          <w:rStyle w:val="Hyperlink"/>
          <w:rFonts w:ascii="Calibri" w:hAnsi="Calibri" w:cs="Calibri"/>
          <w:b/>
          <w:bCs/>
          <w:lang w:val="en-GB"/>
        </w:rPr>
      </w:pPr>
      <w:hyperlink r:id="rId13" w:history="1">
        <w:r w:rsidR="007874B9" w:rsidRPr="007874B9">
          <w:rPr>
            <w:rStyle w:val="Hyperlink"/>
            <w:shd w:val="clear" w:color="auto" w:fill="FFFFFF"/>
            <w:lang w:val="en-GB"/>
          </w:rPr>
          <w:t>GRECO 2</w:t>
        </w:r>
        <w:r w:rsidR="00A053C6" w:rsidRPr="007874B9">
          <w:rPr>
            <w:rStyle w:val="Hyperlink"/>
            <w:shd w:val="clear" w:color="auto" w:fill="FFFFFF"/>
            <w:lang w:val="en-GB"/>
          </w:rPr>
          <w:t>nd follow-up to the ad hoc (Rule 34) report</w:t>
        </w:r>
      </w:hyperlink>
      <w:r w:rsidR="007874B9" w:rsidRPr="007874B9">
        <w:rPr>
          <w:rStyle w:val="Hyperlink"/>
          <w:shd w:val="clear" w:color="auto" w:fill="FFFFFF"/>
          <w:lang w:val="en-GB"/>
        </w:rPr>
        <w:t xml:space="preserve"> </w:t>
      </w:r>
      <w:r w:rsidR="007874B9" w:rsidRPr="007874B9">
        <w:rPr>
          <w:rStyle w:val="Hyperlink"/>
          <w:rFonts w:ascii="Calibri" w:hAnsi="Calibri" w:cs="Calibri"/>
          <w:color w:val="auto"/>
          <w:u w:val="none"/>
          <w:lang w:val="en-GB"/>
        </w:rPr>
        <w:t>(3 March 2022)</w:t>
      </w:r>
    </w:p>
    <w:p w14:paraId="4AF8CCB9" w14:textId="51810672" w:rsidR="00A053C6" w:rsidRPr="007874B9" w:rsidRDefault="00A053C6" w:rsidP="00A053C6">
      <w:pPr>
        <w:pStyle w:val="Default"/>
        <w:rPr>
          <w:color w:val="auto"/>
          <w:sz w:val="20"/>
          <w:szCs w:val="20"/>
          <w:lang w:val="en-GB"/>
        </w:rPr>
      </w:pPr>
      <w:r w:rsidRPr="007874B9">
        <w:rPr>
          <w:color w:val="auto"/>
          <w:sz w:val="20"/>
          <w:szCs w:val="20"/>
          <w:lang w:val="en-GB"/>
        </w:rPr>
        <w:t>Rule 34 Report: Follow-up report to the Ad hoc report on Greece (Rule 34)</w:t>
      </w:r>
    </w:p>
    <w:p w14:paraId="5DE116A8" w14:textId="1F2F23AB" w:rsidR="00A053C6" w:rsidRPr="007874B9" w:rsidRDefault="00A053C6" w:rsidP="00A053C6">
      <w:pPr>
        <w:pStyle w:val="Default"/>
        <w:rPr>
          <w:color w:val="auto"/>
          <w:sz w:val="20"/>
          <w:szCs w:val="20"/>
          <w:lang w:val="en-GB"/>
        </w:rPr>
      </w:pPr>
    </w:p>
    <w:p w14:paraId="562DC606" w14:textId="622F9B6D" w:rsidR="00A053C6" w:rsidRPr="007874B9" w:rsidRDefault="00F13026" w:rsidP="0041125F">
      <w:pPr>
        <w:pStyle w:val="Default"/>
        <w:rPr>
          <w:color w:val="auto"/>
          <w:sz w:val="20"/>
          <w:szCs w:val="20"/>
          <w:lang w:val="en-GB"/>
        </w:rPr>
      </w:pPr>
      <w:hyperlink r:id="rId14" w:history="1">
        <w:r w:rsidR="007874B9" w:rsidRPr="007874B9">
          <w:rPr>
            <w:rStyle w:val="Hyperlink"/>
            <w:sz w:val="20"/>
            <w:szCs w:val="20"/>
            <w:shd w:val="clear" w:color="auto" w:fill="FFFFFF"/>
            <w:lang w:val="en-GB"/>
          </w:rPr>
          <w:t>GRECO A</w:t>
        </w:r>
        <w:r w:rsidR="00A053C6" w:rsidRPr="007874B9">
          <w:rPr>
            <w:rStyle w:val="Hyperlink"/>
            <w:sz w:val="20"/>
            <w:szCs w:val="20"/>
            <w:shd w:val="clear" w:color="auto" w:fill="FFFFFF"/>
            <w:lang w:val="en-GB"/>
          </w:rPr>
          <w:t>ddendum to the 2nd Compliance Report</w:t>
        </w:r>
      </w:hyperlink>
      <w:r w:rsidR="007874B9" w:rsidRPr="007874B9">
        <w:rPr>
          <w:rStyle w:val="Hyperlink"/>
          <w:sz w:val="20"/>
          <w:szCs w:val="20"/>
          <w:u w:val="none"/>
          <w:shd w:val="clear" w:color="auto" w:fill="FFFFFF"/>
          <w:lang w:val="en-GB"/>
        </w:rPr>
        <w:t xml:space="preserve"> </w:t>
      </w:r>
      <w:r w:rsidR="007874B9" w:rsidRPr="007874B9">
        <w:rPr>
          <w:rStyle w:val="Hyperlink"/>
          <w:color w:val="auto"/>
          <w:sz w:val="20"/>
          <w:szCs w:val="20"/>
          <w:u w:val="none"/>
          <w:shd w:val="clear" w:color="auto" w:fill="FFFFFF"/>
          <w:lang w:val="en-GB"/>
        </w:rPr>
        <w:t>(</w:t>
      </w:r>
      <w:r w:rsidR="007874B9" w:rsidRPr="007874B9">
        <w:rPr>
          <w:color w:val="auto"/>
          <w:sz w:val="20"/>
          <w:szCs w:val="20"/>
          <w:lang w:val="en-GB"/>
        </w:rPr>
        <w:t>1 June 2022)</w:t>
      </w:r>
    </w:p>
    <w:p w14:paraId="4D4BA649" w14:textId="51CB66F8" w:rsidR="00A053C6" w:rsidRDefault="00A053C6" w:rsidP="00A053C6">
      <w:pPr>
        <w:rPr>
          <w:lang w:val="en-GB"/>
        </w:rPr>
      </w:pPr>
      <w:r w:rsidRPr="007874B9">
        <w:rPr>
          <w:lang w:val="en-GB"/>
        </w:rPr>
        <w:t xml:space="preserve">4th round: Second Compliance Report corruption prevention in respect of MPs, </w:t>
      </w:r>
      <w:proofErr w:type="gramStart"/>
      <w:r w:rsidRPr="007874B9">
        <w:rPr>
          <w:lang w:val="en-GB"/>
        </w:rPr>
        <w:t>judges</w:t>
      </w:r>
      <w:proofErr w:type="gramEnd"/>
      <w:r w:rsidRPr="007874B9">
        <w:rPr>
          <w:lang w:val="en-GB"/>
        </w:rPr>
        <w:t xml:space="preserve"> and prosecutors</w:t>
      </w:r>
    </w:p>
    <w:p w14:paraId="033A22B9" w14:textId="6852B286" w:rsidR="007874B9" w:rsidRDefault="007874B9" w:rsidP="00A053C6">
      <w:pPr>
        <w:rPr>
          <w:lang w:val="en-GB"/>
        </w:rPr>
      </w:pPr>
    </w:p>
    <w:p w14:paraId="33D80A99" w14:textId="44E03125" w:rsidR="00ED710F" w:rsidRDefault="007874B9" w:rsidP="007874B9">
      <w:pPr>
        <w:rPr>
          <w:lang w:val="en-GB"/>
        </w:rPr>
      </w:pPr>
      <w:r w:rsidRPr="007874B9">
        <w:rPr>
          <w:lang w:val="en-GB"/>
        </w:rPr>
        <w:t>Execution of ju</w:t>
      </w:r>
      <w:r>
        <w:rPr>
          <w:lang w:val="en-GB"/>
        </w:rPr>
        <w:t>d</w:t>
      </w:r>
      <w:r w:rsidRPr="007874B9">
        <w:rPr>
          <w:lang w:val="en-GB"/>
        </w:rPr>
        <w:t xml:space="preserve">gments in </w:t>
      </w:r>
      <w:hyperlink r:id="rId15" w:history="1">
        <w:r w:rsidRPr="007874B9">
          <w:rPr>
            <w:rStyle w:val="Hyperlink"/>
            <w:lang w:val="en-GB"/>
          </w:rPr>
          <w:t>Greece</w:t>
        </w:r>
      </w:hyperlink>
      <w:r>
        <w:rPr>
          <w:lang w:val="en-GB"/>
        </w:rPr>
        <w:t xml:space="preserve"> </w:t>
      </w:r>
    </w:p>
    <w:p w14:paraId="753D9F69" w14:textId="581987BD" w:rsidR="00F13026" w:rsidRPr="00F13026" w:rsidRDefault="00F13026">
      <w:pPr>
        <w:rPr>
          <w:lang w:val="en-GB"/>
        </w:rPr>
      </w:pPr>
    </w:p>
    <w:tbl>
      <w:tblPr>
        <w:tblW w:w="9914" w:type="dxa"/>
        <w:shd w:val="clear" w:color="auto" w:fill="FFFFFF"/>
        <w:tblCellMar>
          <w:left w:w="0" w:type="dxa"/>
          <w:right w:w="0" w:type="dxa"/>
        </w:tblCellMar>
        <w:tblLook w:val="04A0" w:firstRow="1" w:lastRow="0" w:firstColumn="1" w:lastColumn="0" w:noHBand="0" w:noVBand="1"/>
      </w:tblPr>
      <w:tblGrid>
        <w:gridCol w:w="639"/>
        <w:gridCol w:w="495"/>
        <w:gridCol w:w="8780"/>
      </w:tblGrid>
      <w:tr w:rsidR="00ED710F" w:rsidRPr="00CC535F" w14:paraId="412937C6" w14:textId="77777777" w:rsidTr="00ED710F">
        <w:tc>
          <w:tcPr>
            <w:tcW w:w="9914" w:type="dxa"/>
            <w:gridSpan w:val="3"/>
            <w:shd w:val="clear" w:color="auto" w:fill="FFFFFF"/>
            <w:tcMar>
              <w:top w:w="0" w:type="dxa"/>
              <w:left w:w="108" w:type="dxa"/>
              <w:bottom w:w="0" w:type="dxa"/>
              <w:right w:w="108" w:type="dxa"/>
            </w:tcMar>
            <w:hideMark/>
          </w:tcPr>
          <w:p w14:paraId="29E37B0F" w14:textId="77777777" w:rsidR="00ED710F" w:rsidRDefault="00ED710F">
            <w:pPr>
              <w:rPr>
                <w:rFonts w:cstheme="minorHAnsi"/>
                <w:color w:val="333333"/>
                <w:lang w:val="en-GB"/>
              </w:rPr>
            </w:pPr>
            <w:r w:rsidRPr="009D1CDA">
              <w:rPr>
                <w:rFonts w:cstheme="minorHAnsi"/>
                <w:color w:val="333333"/>
                <w:lang w:val="en-GB"/>
              </w:rPr>
              <w:t>Bekir-</w:t>
            </w:r>
            <w:proofErr w:type="spellStart"/>
            <w:r w:rsidRPr="009D1CDA">
              <w:rPr>
                <w:rFonts w:cstheme="minorHAnsi"/>
                <w:color w:val="333333"/>
                <w:lang w:val="en-GB"/>
              </w:rPr>
              <w:t>Ousta</w:t>
            </w:r>
            <w:proofErr w:type="spellEnd"/>
            <w:r w:rsidRPr="009D1CDA">
              <w:rPr>
                <w:rFonts w:cstheme="minorHAnsi"/>
                <w:color w:val="333333"/>
                <w:lang w:val="en-GB"/>
              </w:rPr>
              <w:t xml:space="preserve"> and Others group v. Greece (Application No. 35151/05)</w:t>
            </w:r>
          </w:p>
          <w:p w14:paraId="091336C7" w14:textId="78130557" w:rsidR="00F13026" w:rsidRPr="009D1CDA" w:rsidRDefault="00F13026">
            <w:pPr>
              <w:rPr>
                <w:rFonts w:cstheme="minorHAnsi"/>
                <w:color w:val="333333"/>
                <w:lang w:val="en-GB"/>
              </w:rPr>
            </w:pPr>
            <w:r>
              <w:rPr>
                <w:rFonts w:ascii="Calibri" w:hAnsi="Calibri" w:cs="Calibri"/>
                <w:b/>
                <w:bCs/>
                <w:color w:val="000000"/>
                <w:lang w:val="en-GB"/>
              </w:rPr>
              <w:t xml:space="preserve">   </w:t>
            </w:r>
            <w:r w:rsidRPr="00F13026">
              <w:rPr>
                <w:rFonts w:ascii="Calibri" w:hAnsi="Calibri" w:cs="Calibri"/>
                <w:b/>
                <w:bCs/>
                <w:color w:val="000000"/>
                <w:lang w:val="en-GB"/>
              </w:rPr>
              <w:t xml:space="preserve">Refusal </w:t>
            </w:r>
            <w:r w:rsidRPr="00F13026">
              <w:rPr>
                <w:rFonts w:ascii="Calibri" w:hAnsi="Calibri" w:cs="Calibri"/>
                <w:color w:val="000000"/>
                <w:lang w:val="en-GB"/>
              </w:rPr>
              <w:t xml:space="preserve">of domestic courts </w:t>
            </w:r>
            <w:r w:rsidRPr="00F13026">
              <w:rPr>
                <w:rFonts w:ascii="Calibri" w:hAnsi="Calibri" w:cs="Calibri"/>
                <w:b/>
                <w:bCs/>
                <w:color w:val="000000"/>
                <w:lang w:val="en-GB"/>
              </w:rPr>
              <w:t>to register associations.</w:t>
            </w:r>
          </w:p>
        </w:tc>
      </w:tr>
      <w:tr w:rsidR="00ED710F" w:rsidRPr="009D1CDA" w14:paraId="1D2F6521" w14:textId="77777777" w:rsidTr="00ED710F">
        <w:tc>
          <w:tcPr>
            <w:tcW w:w="639" w:type="dxa"/>
            <w:shd w:val="clear" w:color="auto" w:fill="FFFFFF"/>
            <w:tcMar>
              <w:top w:w="0" w:type="dxa"/>
              <w:left w:w="108" w:type="dxa"/>
              <w:bottom w:w="0" w:type="dxa"/>
              <w:right w:w="108" w:type="dxa"/>
            </w:tcMar>
            <w:hideMark/>
          </w:tcPr>
          <w:p w14:paraId="654D8BB5" w14:textId="77777777" w:rsidR="00ED710F" w:rsidRPr="009D1CDA" w:rsidRDefault="00ED710F">
            <w:pPr>
              <w:rPr>
                <w:rFonts w:cstheme="minorHAnsi"/>
                <w:lang w:val="en-GB"/>
              </w:rPr>
            </w:pPr>
          </w:p>
        </w:tc>
        <w:tc>
          <w:tcPr>
            <w:tcW w:w="495" w:type="dxa"/>
            <w:shd w:val="clear" w:color="auto" w:fill="FFFFFF"/>
            <w:tcMar>
              <w:top w:w="0" w:type="dxa"/>
              <w:left w:w="108" w:type="dxa"/>
              <w:bottom w:w="0" w:type="dxa"/>
              <w:right w:w="108" w:type="dxa"/>
            </w:tcMar>
            <w:hideMark/>
          </w:tcPr>
          <w:p w14:paraId="6AF5845B" w14:textId="77777777" w:rsidR="00ED710F" w:rsidRPr="009D1CDA" w:rsidRDefault="00ED710F">
            <w:pPr>
              <w:rPr>
                <w:rFonts w:cstheme="minorHAnsi"/>
                <w:lang w:val="en-GB"/>
              </w:rPr>
            </w:pPr>
          </w:p>
        </w:tc>
        <w:tc>
          <w:tcPr>
            <w:tcW w:w="8780" w:type="dxa"/>
            <w:shd w:val="clear" w:color="auto" w:fill="FFFFFF"/>
            <w:tcMar>
              <w:top w:w="0" w:type="dxa"/>
              <w:left w:w="108" w:type="dxa"/>
              <w:bottom w:w="0" w:type="dxa"/>
              <w:right w:w="108" w:type="dxa"/>
            </w:tcMar>
            <w:hideMark/>
          </w:tcPr>
          <w:p w14:paraId="67E37C96" w14:textId="38B8C84A" w:rsidR="00ED710F" w:rsidRPr="009D1CDA" w:rsidRDefault="00F13026">
            <w:pPr>
              <w:pStyle w:val="coesource"/>
              <w:spacing w:before="96" w:beforeAutospacing="0" w:after="0" w:afterAutospacing="0"/>
              <w:rPr>
                <w:rFonts w:asciiTheme="minorHAnsi" w:hAnsiTheme="minorHAnsi" w:cstheme="minorHAnsi"/>
                <w:color w:val="000000"/>
                <w:sz w:val="20"/>
                <w:szCs w:val="20"/>
                <w:lang w:val="en-GB"/>
              </w:rPr>
            </w:pPr>
            <w:hyperlink r:id="rId16" w:history="1">
              <w:r w:rsidR="00ED710F" w:rsidRPr="009D1CDA">
                <w:rPr>
                  <w:rStyle w:val="Hyperlink"/>
                  <w:rFonts w:asciiTheme="minorHAnsi" w:eastAsiaTheme="majorEastAsia" w:hAnsiTheme="minorHAnsi" w:cstheme="minorHAnsi"/>
                  <w:color w:val="129AF0"/>
                  <w:sz w:val="20"/>
                  <w:szCs w:val="20"/>
                  <w:lang w:val="en-GB"/>
                </w:rPr>
                <w:t>CM/Del/Dec(2022)1451/H46-15</w:t>
              </w:r>
            </w:hyperlink>
            <w:r w:rsidR="009D1CDA" w:rsidRPr="009D1CDA">
              <w:rPr>
                <w:rStyle w:val="Hyperlink"/>
                <w:rFonts w:asciiTheme="minorHAnsi" w:eastAsiaTheme="majorEastAsia" w:hAnsiTheme="minorHAnsi" w:cstheme="minorHAnsi"/>
                <w:color w:val="129AF0"/>
                <w:sz w:val="20"/>
                <w:szCs w:val="20"/>
                <w:lang w:val="en-GB"/>
              </w:rPr>
              <w:t>,</w:t>
            </w:r>
            <w:r w:rsidR="009D1CDA" w:rsidRPr="009D1CDA">
              <w:rPr>
                <w:rStyle w:val="Hyperlink"/>
                <w:rFonts w:eastAsiaTheme="majorEastAsia"/>
                <w:color w:val="129AF0"/>
                <w:lang w:val="en-GB"/>
              </w:rPr>
              <w:t xml:space="preserve"> </w:t>
            </w:r>
            <w:hyperlink r:id="rId17" w:history="1">
              <w:r w:rsidR="009D1CDA" w:rsidRPr="009D1CDA">
                <w:rPr>
                  <w:rStyle w:val="Hyperlink"/>
                  <w:rFonts w:asciiTheme="minorHAnsi" w:eastAsiaTheme="majorEastAsia" w:hAnsiTheme="minorHAnsi" w:cstheme="minorHAnsi"/>
                  <w:color w:val="129AF0"/>
                  <w:sz w:val="20"/>
                  <w:szCs w:val="20"/>
                  <w:lang w:val="en-GB"/>
                </w:rPr>
                <w:t>CM/Del/Dec(2022)1436/H46-8</w:t>
              </w:r>
            </w:hyperlink>
          </w:p>
        </w:tc>
      </w:tr>
      <w:tr w:rsidR="00ED710F" w:rsidRPr="00CC535F" w14:paraId="621ED132" w14:textId="77777777" w:rsidTr="00BF7ED0">
        <w:tc>
          <w:tcPr>
            <w:tcW w:w="9914" w:type="dxa"/>
            <w:gridSpan w:val="3"/>
            <w:shd w:val="clear" w:color="auto" w:fill="FFFFFF"/>
            <w:tcMar>
              <w:top w:w="0" w:type="dxa"/>
              <w:left w:w="108" w:type="dxa"/>
              <w:bottom w:w="0" w:type="dxa"/>
              <w:right w:w="108" w:type="dxa"/>
            </w:tcMar>
          </w:tcPr>
          <w:p w14:paraId="01B8DDB7" w14:textId="5234008C" w:rsidR="009D1CDA" w:rsidRPr="009D1CDA" w:rsidRDefault="00ED710F" w:rsidP="009D1CDA">
            <w:pPr>
              <w:spacing w:before="240"/>
              <w:rPr>
                <w:rFonts w:cstheme="minorHAnsi"/>
                <w:color w:val="333333"/>
                <w:lang w:val="en-GB"/>
              </w:rPr>
            </w:pPr>
            <w:proofErr w:type="spellStart"/>
            <w:r w:rsidRPr="009D1CDA">
              <w:rPr>
                <w:rFonts w:cstheme="minorHAnsi"/>
                <w:color w:val="333333"/>
                <w:lang w:val="en-GB"/>
              </w:rPr>
              <w:t>Nisiotis</w:t>
            </w:r>
            <w:proofErr w:type="spellEnd"/>
            <w:r w:rsidRPr="009D1CDA">
              <w:rPr>
                <w:rFonts w:cstheme="minorHAnsi"/>
                <w:color w:val="333333"/>
                <w:lang w:val="en-GB"/>
              </w:rPr>
              <w:t xml:space="preserve"> group v. Greece (Application No. 34704/08)</w:t>
            </w:r>
          </w:p>
          <w:tbl>
            <w:tblPr>
              <w:tblW w:w="0" w:type="auto"/>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6985"/>
            </w:tblGrid>
            <w:tr w:rsidR="009D1CDA" w:rsidRPr="009D1CDA" w14:paraId="2687C6DA" w14:textId="77777777" w:rsidTr="009D1CDA">
              <w:tblPrEx>
                <w:tblCellMar>
                  <w:top w:w="0" w:type="dxa"/>
                  <w:bottom w:w="0" w:type="dxa"/>
                </w:tblCellMar>
              </w:tblPrEx>
              <w:trPr>
                <w:trHeight w:val="80"/>
              </w:trPr>
              <w:tc>
                <w:tcPr>
                  <w:tcW w:w="0" w:type="auto"/>
                  <w:tcBorders>
                    <w:top w:val="nil"/>
                    <w:left w:val="nil"/>
                    <w:bottom w:val="nil"/>
                    <w:right w:val="nil"/>
                  </w:tcBorders>
                </w:tcPr>
                <w:p w14:paraId="2C1E6EA7" w14:textId="77777777" w:rsidR="009D1CDA" w:rsidRPr="009D1CDA" w:rsidRDefault="009D1CDA" w:rsidP="009D1CDA">
                  <w:pPr>
                    <w:autoSpaceDE w:val="0"/>
                    <w:autoSpaceDN w:val="0"/>
                    <w:adjustRightInd w:val="0"/>
                    <w:rPr>
                      <w:rFonts w:ascii="Calibri" w:hAnsi="Calibri" w:cs="Calibri"/>
                      <w:color w:val="000000"/>
                      <w:lang w:val="en-GB"/>
                    </w:rPr>
                  </w:pPr>
                  <w:r w:rsidRPr="009D1CDA">
                    <w:rPr>
                      <w:rFonts w:ascii="Calibri" w:hAnsi="Calibri" w:cs="Calibri"/>
                      <w:color w:val="000000"/>
                      <w:sz w:val="24"/>
                      <w:szCs w:val="24"/>
                      <w:lang w:val="en-GB"/>
                    </w:rPr>
                    <w:t xml:space="preserve"> </w:t>
                  </w:r>
                  <w:r w:rsidRPr="009D1CDA">
                    <w:rPr>
                      <w:rFonts w:ascii="Calibri" w:hAnsi="Calibri" w:cs="Calibri"/>
                      <w:b/>
                      <w:bCs/>
                      <w:color w:val="000000"/>
                      <w:lang w:val="en-GB"/>
                    </w:rPr>
                    <w:t xml:space="preserve">Prison overcrowding </w:t>
                  </w:r>
                  <w:r w:rsidRPr="009D1CDA">
                    <w:rPr>
                      <w:rFonts w:ascii="Calibri" w:hAnsi="Calibri" w:cs="Calibri"/>
                      <w:color w:val="000000"/>
                      <w:lang w:val="en-GB"/>
                    </w:rPr>
                    <w:t xml:space="preserve">and other poor conditions in prison. Lack of effective remedy </w:t>
                  </w:r>
                </w:p>
              </w:tc>
            </w:tr>
          </w:tbl>
          <w:p w14:paraId="4010DDEE" w14:textId="357E2CE1" w:rsidR="009D1CDA" w:rsidRPr="009D1CDA" w:rsidRDefault="009D1CDA">
            <w:pPr>
              <w:spacing w:before="240"/>
              <w:rPr>
                <w:rFonts w:cstheme="minorHAnsi"/>
                <w:color w:val="333333"/>
                <w:lang w:val="en-GB"/>
              </w:rPr>
            </w:pPr>
          </w:p>
        </w:tc>
      </w:tr>
      <w:tr w:rsidR="00ED710F" w14:paraId="00DFA4C1" w14:textId="77777777" w:rsidTr="009847F1">
        <w:tc>
          <w:tcPr>
            <w:tcW w:w="9914" w:type="dxa"/>
            <w:gridSpan w:val="3"/>
            <w:shd w:val="clear" w:color="auto" w:fill="FFFFFF"/>
            <w:tcMar>
              <w:top w:w="0" w:type="dxa"/>
              <w:left w:w="108" w:type="dxa"/>
              <w:bottom w:w="0" w:type="dxa"/>
              <w:right w:w="108" w:type="dxa"/>
            </w:tcMar>
            <w:hideMark/>
          </w:tcPr>
          <w:p w14:paraId="4F22B0A6" w14:textId="32401FD9" w:rsidR="00ED710F" w:rsidRPr="009D1CDA" w:rsidRDefault="00ED710F">
            <w:pPr>
              <w:pStyle w:val="coesource"/>
              <w:spacing w:before="96" w:beforeAutospacing="0" w:after="0" w:afterAutospacing="0"/>
              <w:rPr>
                <w:rFonts w:asciiTheme="minorHAnsi" w:hAnsiTheme="minorHAnsi" w:cstheme="minorHAnsi"/>
                <w:color w:val="000000"/>
                <w:sz w:val="20"/>
                <w:szCs w:val="20"/>
              </w:rPr>
            </w:pPr>
            <w:r w:rsidRPr="009D1CDA">
              <w:rPr>
                <w:rFonts w:asciiTheme="minorHAnsi" w:hAnsiTheme="minorHAnsi" w:cstheme="minorHAnsi"/>
                <w:color w:val="000000"/>
                <w:sz w:val="20"/>
                <w:szCs w:val="20"/>
                <w:lang w:val="en-GB"/>
              </w:rPr>
              <w:t xml:space="preserve">             </w:t>
            </w:r>
            <w:hyperlink r:id="rId18" w:history="1">
              <w:r w:rsidRPr="009D1CDA">
                <w:rPr>
                  <w:rStyle w:val="Hyperlink"/>
                  <w:rFonts w:asciiTheme="minorHAnsi" w:eastAsiaTheme="majorEastAsia" w:hAnsiTheme="minorHAnsi" w:cstheme="minorHAnsi"/>
                  <w:color w:val="129AF0"/>
                  <w:sz w:val="20"/>
                  <w:szCs w:val="20"/>
                </w:rPr>
                <w:t>CM/Del/</w:t>
              </w:r>
              <w:proofErr w:type="spellStart"/>
              <w:proofErr w:type="gramStart"/>
              <w:r w:rsidRPr="009D1CDA">
                <w:rPr>
                  <w:rStyle w:val="Hyperlink"/>
                  <w:rFonts w:asciiTheme="minorHAnsi" w:eastAsiaTheme="majorEastAsia" w:hAnsiTheme="minorHAnsi" w:cstheme="minorHAnsi"/>
                  <w:color w:val="129AF0"/>
                  <w:sz w:val="20"/>
                  <w:szCs w:val="20"/>
                </w:rPr>
                <w:t>Dec</w:t>
              </w:r>
              <w:proofErr w:type="spellEnd"/>
              <w:r w:rsidRPr="009D1CDA">
                <w:rPr>
                  <w:rStyle w:val="Hyperlink"/>
                  <w:rFonts w:asciiTheme="minorHAnsi" w:eastAsiaTheme="majorEastAsia" w:hAnsiTheme="minorHAnsi" w:cstheme="minorHAnsi"/>
                  <w:color w:val="129AF0"/>
                  <w:sz w:val="20"/>
                  <w:szCs w:val="20"/>
                </w:rPr>
                <w:t>(</w:t>
              </w:r>
              <w:proofErr w:type="gramEnd"/>
              <w:r w:rsidRPr="009D1CDA">
                <w:rPr>
                  <w:rStyle w:val="Hyperlink"/>
                  <w:rFonts w:asciiTheme="minorHAnsi" w:eastAsiaTheme="majorEastAsia" w:hAnsiTheme="minorHAnsi" w:cstheme="minorHAnsi"/>
                  <w:color w:val="129AF0"/>
                  <w:sz w:val="20"/>
                  <w:szCs w:val="20"/>
                </w:rPr>
                <w:t>2022)1428/H46-13</w:t>
              </w:r>
            </w:hyperlink>
          </w:p>
        </w:tc>
      </w:tr>
    </w:tbl>
    <w:p w14:paraId="31486091" w14:textId="77777777" w:rsidR="00ED710F" w:rsidRDefault="00ED710F" w:rsidP="007874B9">
      <w:pPr>
        <w:rPr>
          <w:lang w:val="en-GB"/>
        </w:rPr>
      </w:pPr>
    </w:p>
    <w:p w14:paraId="4E0AF977" w14:textId="40D58256" w:rsidR="00D200A4" w:rsidRDefault="00D200A4" w:rsidP="00D200A4">
      <w:pPr>
        <w:jc w:val="both"/>
        <w:rPr>
          <w:rFonts w:cstheme="minorHAnsi"/>
          <w:lang w:val="en-GB"/>
        </w:rPr>
      </w:pPr>
      <w:r>
        <w:rPr>
          <w:lang w:val="en-GB"/>
        </w:rPr>
        <w:t xml:space="preserve">The Committee of Ministers ended its supervision of execution of the </w:t>
      </w:r>
      <w:hyperlink r:id="rId19" w:tgtFrame="_blank" w:history="1">
        <w:proofErr w:type="spellStart"/>
        <w:r w:rsidRPr="00D200A4">
          <w:rPr>
            <w:rStyle w:val="Hyperlink"/>
            <w:rFonts w:cstheme="minorHAnsi"/>
            <w:b/>
            <w:bCs/>
            <w:i/>
            <w:iCs/>
            <w:color w:val="007BC8"/>
            <w:lang w:val="en-GB"/>
          </w:rPr>
          <w:t>Sakir</w:t>
        </w:r>
        <w:proofErr w:type="spellEnd"/>
      </w:hyperlink>
      <w:hyperlink r:id="rId20" w:tgtFrame="_blank" w:history="1">
        <w:r w:rsidRPr="00D200A4">
          <w:rPr>
            <w:rStyle w:val="Strong"/>
            <w:rFonts w:cstheme="minorHAnsi"/>
            <w:color w:val="007BC8"/>
            <w:lang w:val="en-GB"/>
          </w:rPr>
          <w:t> </w:t>
        </w:r>
      </w:hyperlink>
      <w:r w:rsidRPr="00D200A4">
        <w:rPr>
          <w:rFonts w:cstheme="minorHAnsi"/>
          <w:lang w:val="en-GB"/>
        </w:rPr>
        <w:t>judgment conce</w:t>
      </w:r>
      <w:r>
        <w:rPr>
          <w:rFonts w:cstheme="minorHAnsi"/>
          <w:lang w:val="en-GB"/>
        </w:rPr>
        <w:t xml:space="preserve">rning ineffective criminal investigation into the racially motivated assault suffered by a migrant (see the </w:t>
      </w:r>
      <w:hyperlink r:id="rId21" w:anchor="p_com_liferay_asset_publisher_web_portlet_AssetPublisherPortlet_INSTANCE_8LSjbtK8AR4u" w:history="1">
        <w:r w:rsidRPr="00D200A4">
          <w:rPr>
            <w:rStyle w:val="Hyperlink"/>
            <w:rFonts w:cstheme="minorHAnsi"/>
            <w:lang w:val="en-GB"/>
          </w:rPr>
          <w:t>press release</w:t>
        </w:r>
      </w:hyperlink>
      <w:r>
        <w:rPr>
          <w:rFonts w:cstheme="minorHAnsi"/>
          <w:lang w:val="en-GB"/>
        </w:rPr>
        <w:t xml:space="preserve">,  </w:t>
      </w:r>
      <w:hyperlink r:id="rId22" w:anchor="{%22fulltext%22:[%22sakir%22],%22display%22:[2],%22EXECIdentifier%22:[%22DH-DD(2022)58F%22],%22EXECDocumentTypeCollection%22:[%22CEC%22]}" w:history="1">
        <w:r w:rsidRPr="00D200A4">
          <w:rPr>
            <w:rStyle w:val="Hyperlink"/>
            <w:rFonts w:cstheme="minorHAnsi"/>
            <w:lang w:val="en-GB"/>
          </w:rPr>
          <w:t>action report</w:t>
        </w:r>
      </w:hyperlink>
      <w:r>
        <w:rPr>
          <w:rFonts w:cstheme="minorHAnsi"/>
          <w:lang w:val="en-GB"/>
        </w:rPr>
        <w:t xml:space="preserve"> and </w:t>
      </w:r>
      <w:hyperlink r:id="rId23" w:anchor="{%22EXECIdentifier%22:[%22001-217385%22]}" w:history="1">
        <w:r w:rsidRPr="00D200A4">
          <w:rPr>
            <w:rStyle w:val="Hyperlink"/>
            <w:rFonts w:cstheme="minorHAnsi"/>
            <w:lang w:val="en-GB"/>
          </w:rPr>
          <w:t>final resolution</w:t>
        </w:r>
      </w:hyperlink>
      <w:r>
        <w:rPr>
          <w:rFonts w:cstheme="minorHAnsi"/>
          <w:lang w:val="en-GB"/>
        </w:rPr>
        <w:t xml:space="preserve">). </w:t>
      </w:r>
    </w:p>
    <w:p w14:paraId="59F5E6D2" w14:textId="49A4EE5D" w:rsidR="00D200A4" w:rsidRDefault="00D200A4" w:rsidP="007874B9">
      <w:pPr>
        <w:rPr>
          <w:rFonts w:cstheme="minorHAnsi"/>
          <w:lang w:val="en-GB"/>
        </w:rPr>
      </w:pPr>
    </w:p>
    <w:p w14:paraId="33355E12" w14:textId="74C4CFDB" w:rsidR="00D200A4" w:rsidRDefault="00D200A4" w:rsidP="00D200A4">
      <w:pPr>
        <w:jc w:val="both"/>
        <w:rPr>
          <w:rFonts w:cstheme="minorHAnsi"/>
          <w:lang w:val="en-GB"/>
        </w:rPr>
      </w:pPr>
      <w:r>
        <w:rPr>
          <w:rFonts w:cstheme="minorHAnsi"/>
          <w:lang w:val="en-GB"/>
        </w:rPr>
        <w:t xml:space="preserve">The Committee of Ministers also decided to close </w:t>
      </w:r>
      <w:r w:rsidR="00CC535F">
        <w:rPr>
          <w:rFonts w:cstheme="minorHAnsi"/>
          <w:lang w:val="en-GB"/>
        </w:rPr>
        <w:t xml:space="preserve">supervision in </w:t>
      </w:r>
      <w:r>
        <w:rPr>
          <w:rFonts w:cstheme="minorHAnsi"/>
          <w:lang w:val="en-GB"/>
        </w:rPr>
        <w:t>two other cases:</w:t>
      </w:r>
    </w:p>
    <w:p w14:paraId="2DE278AA" w14:textId="290E8A0D" w:rsidR="00D200A4" w:rsidRDefault="00D200A4" w:rsidP="00D200A4">
      <w:pPr>
        <w:jc w:val="both"/>
        <w:rPr>
          <w:rFonts w:cstheme="minorHAnsi"/>
          <w:lang w:val="en-GB"/>
        </w:rPr>
      </w:pPr>
    </w:p>
    <w:p w14:paraId="57594B16" w14:textId="13B4A5FD" w:rsidR="00D200A4" w:rsidRPr="00D200A4" w:rsidRDefault="00D200A4" w:rsidP="00D200A4">
      <w:pPr>
        <w:pStyle w:val="ListParagraph"/>
        <w:numPr>
          <w:ilvl w:val="0"/>
          <w:numId w:val="9"/>
        </w:numPr>
        <w:jc w:val="both"/>
        <w:rPr>
          <w:rStyle w:val="Strong"/>
          <w:rFonts w:cstheme="minorHAnsi"/>
          <w:b w:val="0"/>
          <w:bCs w:val="0"/>
          <w:lang w:val="en-GB"/>
        </w:rPr>
      </w:pPr>
      <w:r>
        <w:rPr>
          <w:rFonts w:cstheme="minorHAnsi"/>
          <w:lang w:val="en-GB"/>
        </w:rPr>
        <w:t>i</w:t>
      </w:r>
      <w:r w:rsidRPr="00D200A4">
        <w:rPr>
          <w:rFonts w:cstheme="minorHAnsi"/>
          <w:lang w:val="en-GB"/>
        </w:rPr>
        <w:t xml:space="preserve">n response to the </w:t>
      </w:r>
      <w:hyperlink r:id="rId24" w:anchor="{%22itemid%22:[%22002-11229%22]}" w:history="1">
        <w:proofErr w:type="spellStart"/>
        <w:r w:rsidRPr="00D200A4">
          <w:rPr>
            <w:rStyle w:val="Hyperlink"/>
            <w:rFonts w:cstheme="minorHAnsi"/>
            <w:b/>
            <w:bCs/>
            <w:i/>
            <w:iCs/>
            <w:color w:val="007BC8"/>
            <w:lang w:val="en-GB"/>
          </w:rPr>
          <w:t>Fourkiotis</w:t>
        </w:r>
        <w:proofErr w:type="spellEnd"/>
      </w:hyperlink>
      <w:r w:rsidRPr="00D200A4">
        <w:rPr>
          <w:rStyle w:val="Strong"/>
          <w:rFonts w:cstheme="minorHAnsi"/>
          <w:color w:val="161616"/>
          <w:lang w:val="en-GB"/>
        </w:rPr>
        <w:t xml:space="preserve"> </w:t>
      </w:r>
      <w:r w:rsidRPr="00D200A4">
        <w:rPr>
          <w:rStyle w:val="Strong"/>
          <w:rFonts w:cstheme="minorHAnsi"/>
          <w:b w:val="0"/>
          <w:bCs w:val="0"/>
          <w:color w:val="161616"/>
          <w:lang w:val="en-GB"/>
        </w:rPr>
        <w:t xml:space="preserve">judgment, Law No. 4800/2021 </w:t>
      </w:r>
      <w:r>
        <w:rPr>
          <w:rStyle w:val="Strong"/>
          <w:rFonts w:cstheme="minorHAnsi"/>
          <w:b w:val="0"/>
          <w:bCs w:val="0"/>
          <w:color w:val="161616"/>
          <w:lang w:val="en-GB"/>
        </w:rPr>
        <w:t xml:space="preserve"> was adopted </w:t>
      </w:r>
      <w:r w:rsidRPr="00D200A4">
        <w:rPr>
          <w:rStyle w:val="Strong"/>
          <w:rFonts w:cstheme="minorHAnsi"/>
          <w:b w:val="0"/>
          <w:bCs w:val="0"/>
          <w:color w:val="161616"/>
          <w:lang w:val="en-GB"/>
        </w:rPr>
        <w:t xml:space="preserve">to modernise legislative framework in respect of access to children of separated parents (see the </w:t>
      </w:r>
      <w:hyperlink r:id="rId25" w:anchor="p_com_liferay_asset_publisher_web_portlet_AssetPublisherPortlet_INSTANCE_8LSjbtK8AR4u" w:history="1">
        <w:r w:rsidRPr="00D200A4">
          <w:rPr>
            <w:rStyle w:val="Hyperlink"/>
            <w:rFonts w:cstheme="minorHAnsi"/>
            <w:lang w:val="en-GB"/>
          </w:rPr>
          <w:t>press release</w:t>
        </w:r>
      </w:hyperlink>
      <w:r w:rsidRPr="00D200A4">
        <w:rPr>
          <w:rStyle w:val="Strong"/>
          <w:rFonts w:cstheme="minorHAnsi"/>
          <w:b w:val="0"/>
          <w:bCs w:val="0"/>
          <w:color w:val="161616"/>
          <w:lang w:val="en-GB"/>
        </w:rPr>
        <w:t xml:space="preserve"> and </w:t>
      </w:r>
      <w:hyperlink r:id="rId26" w:anchor="{%22EXECIdentifier%22:[%22001-217744%22]}" w:history="1">
        <w:r w:rsidRPr="00D200A4">
          <w:rPr>
            <w:rStyle w:val="Hyperlink"/>
            <w:rFonts w:cstheme="minorHAnsi"/>
            <w:lang w:val="en-GB"/>
          </w:rPr>
          <w:t>final resolution</w:t>
        </w:r>
      </w:hyperlink>
      <w:r w:rsidRPr="00D200A4">
        <w:rPr>
          <w:rStyle w:val="Strong"/>
          <w:rFonts w:cstheme="minorHAnsi"/>
          <w:b w:val="0"/>
          <w:bCs w:val="0"/>
          <w:color w:val="161616"/>
          <w:lang w:val="en-GB"/>
        </w:rPr>
        <w:t>)</w:t>
      </w:r>
      <w:r>
        <w:rPr>
          <w:rStyle w:val="Strong"/>
          <w:rFonts w:cstheme="minorHAnsi"/>
          <w:b w:val="0"/>
          <w:bCs w:val="0"/>
          <w:color w:val="161616"/>
          <w:lang w:val="en-GB"/>
        </w:rPr>
        <w:t>;</w:t>
      </w:r>
    </w:p>
    <w:p w14:paraId="1450A9F6" w14:textId="77777777" w:rsidR="00D200A4" w:rsidRPr="00D200A4" w:rsidRDefault="00D200A4" w:rsidP="00D200A4">
      <w:pPr>
        <w:pStyle w:val="ListParagraph"/>
        <w:ind w:left="360"/>
        <w:jc w:val="both"/>
        <w:rPr>
          <w:rStyle w:val="Strong"/>
          <w:rFonts w:cstheme="minorHAnsi"/>
          <w:b w:val="0"/>
          <w:bCs w:val="0"/>
          <w:lang w:val="en-GB"/>
        </w:rPr>
      </w:pPr>
    </w:p>
    <w:p w14:paraId="46C1D888" w14:textId="3D66F58D" w:rsidR="00D200A4" w:rsidRDefault="00D200A4" w:rsidP="00D200A4">
      <w:pPr>
        <w:pStyle w:val="ListParagraph"/>
        <w:numPr>
          <w:ilvl w:val="0"/>
          <w:numId w:val="9"/>
        </w:numPr>
        <w:jc w:val="both"/>
        <w:rPr>
          <w:rStyle w:val="Strong"/>
          <w:rFonts w:cstheme="minorHAnsi"/>
          <w:b w:val="0"/>
          <w:bCs w:val="0"/>
          <w:color w:val="161616"/>
          <w:lang w:val="en-GB"/>
        </w:rPr>
      </w:pPr>
      <w:r>
        <w:rPr>
          <w:rStyle w:val="Strong"/>
          <w:rFonts w:cstheme="minorHAnsi"/>
          <w:b w:val="0"/>
          <w:bCs w:val="0"/>
          <w:lang w:val="en-GB"/>
        </w:rPr>
        <w:t xml:space="preserve">in response to </w:t>
      </w:r>
      <w:proofErr w:type="spellStart"/>
      <w:r>
        <w:rPr>
          <w:rStyle w:val="Strong"/>
          <w:rFonts w:cstheme="minorHAnsi"/>
          <w:b w:val="0"/>
          <w:bCs w:val="0"/>
          <w:lang w:val="en-GB"/>
        </w:rPr>
        <w:t>Kallergis</w:t>
      </w:r>
      <w:proofErr w:type="spellEnd"/>
      <w:r>
        <w:rPr>
          <w:rStyle w:val="Strong"/>
          <w:rFonts w:cstheme="minorHAnsi"/>
          <w:b w:val="0"/>
          <w:bCs w:val="0"/>
          <w:lang w:val="en-GB"/>
        </w:rPr>
        <w:t xml:space="preserve">, the </w:t>
      </w:r>
      <w:r w:rsidRPr="00D200A4">
        <w:rPr>
          <w:rStyle w:val="Strong"/>
          <w:rFonts w:cstheme="minorHAnsi"/>
          <w:b w:val="0"/>
          <w:bCs w:val="0"/>
          <w:color w:val="161616"/>
          <w:lang w:val="en-GB"/>
        </w:rPr>
        <w:t xml:space="preserve">Law 4620/2019 </w:t>
      </w:r>
      <w:r>
        <w:rPr>
          <w:rStyle w:val="Strong"/>
          <w:rFonts w:cstheme="minorHAnsi"/>
          <w:b w:val="0"/>
          <w:bCs w:val="0"/>
          <w:color w:val="161616"/>
          <w:lang w:val="en-GB"/>
        </w:rPr>
        <w:t xml:space="preserve">(new Code of Criminal Procedure) and Law 4855/2021 (amending the Code of Criminal Procedure) were adopted to provide that errors attributed to court registries did not constitute grounds for inadmissibility of an appeal. Excessive formalism by criminal courts has therefore been prevented (see the </w:t>
      </w:r>
      <w:hyperlink r:id="rId27" w:anchor="p_com_liferay_asset_publisher_web_portlet_AssetPublisherPortlet_INSTANCE_8LSjbtK8AR4u" w:history="1">
        <w:r w:rsidRPr="00D200A4">
          <w:rPr>
            <w:rStyle w:val="Hyperlink"/>
            <w:rFonts w:cstheme="minorHAnsi"/>
            <w:lang w:val="en-GB"/>
          </w:rPr>
          <w:t>press release</w:t>
        </w:r>
      </w:hyperlink>
      <w:r>
        <w:rPr>
          <w:rStyle w:val="Strong"/>
          <w:rFonts w:cstheme="minorHAnsi"/>
          <w:b w:val="0"/>
          <w:bCs w:val="0"/>
          <w:color w:val="161616"/>
          <w:lang w:val="en-GB"/>
        </w:rPr>
        <w:t xml:space="preserve"> and </w:t>
      </w:r>
      <w:hyperlink r:id="rId28" w:anchor="{%22EXECIdentifier%22:[%22001-218352%22]}" w:history="1">
        <w:r w:rsidRPr="00D200A4">
          <w:rPr>
            <w:rStyle w:val="Hyperlink"/>
            <w:rFonts w:cstheme="minorHAnsi"/>
            <w:lang w:val="en-GB"/>
          </w:rPr>
          <w:t>final resolution</w:t>
        </w:r>
      </w:hyperlink>
      <w:r>
        <w:rPr>
          <w:rStyle w:val="Strong"/>
          <w:rFonts w:cstheme="minorHAnsi"/>
          <w:b w:val="0"/>
          <w:bCs w:val="0"/>
          <w:color w:val="161616"/>
          <w:lang w:val="en-GB"/>
        </w:rPr>
        <w:t xml:space="preserve">). </w:t>
      </w:r>
    </w:p>
    <w:p w14:paraId="31E6F8C4" w14:textId="44ED9F03" w:rsidR="00CC535F" w:rsidRDefault="00CC535F" w:rsidP="00CC535F">
      <w:pPr>
        <w:jc w:val="both"/>
        <w:rPr>
          <w:rFonts w:cstheme="minorHAnsi"/>
          <w:color w:val="161616"/>
          <w:lang w:val="en-GB"/>
        </w:rPr>
      </w:pPr>
    </w:p>
    <w:p w14:paraId="6AFA1219" w14:textId="0E6045FE" w:rsidR="00CC535F" w:rsidRDefault="00CC535F" w:rsidP="00CC535F">
      <w:pPr>
        <w:jc w:val="both"/>
        <w:rPr>
          <w:rFonts w:cstheme="minorHAnsi"/>
          <w:color w:val="161616"/>
          <w:lang w:val="en-GB"/>
        </w:rPr>
      </w:pPr>
      <w:r>
        <w:rPr>
          <w:rFonts w:cstheme="minorHAnsi"/>
          <w:color w:val="161616"/>
          <w:lang w:val="en-GB"/>
        </w:rPr>
        <w:t>CPT</w:t>
      </w:r>
    </w:p>
    <w:p w14:paraId="1E69D1E8" w14:textId="521258B4" w:rsidR="00CC535F" w:rsidRPr="00CC535F" w:rsidRDefault="00CC535F" w:rsidP="00CC535F">
      <w:pPr>
        <w:jc w:val="both"/>
        <w:rPr>
          <w:rFonts w:cstheme="minorHAnsi"/>
          <w:color w:val="161616"/>
          <w:lang w:val="en-GB"/>
        </w:rPr>
      </w:pPr>
      <w:r>
        <w:rPr>
          <w:rFonts w:cstheme="minorHAnsi"/>
          <w:color w:val="161616"/>
          <w:lang w:val="en-GB"/>
        </w:rPr>
        <w:t xml:space="preserve">In September 2022, the CPT published a </w:t>
      </w:r>
      <w:hyperlink r:id="rId29" w:history="1">
        <w:r w:rsidRPr="00CC535F">
          <w:rPr>
            <w:rStyle w:val="Hyperlink"/>
            <w:rFonts w:cstheme="minorHAnsi"/>
            <w:lang w:val="en-GB"/>
          </w:rPr>
          <w:t>report</w:t>
        </w:r>
      </w:hyperlink>
      <w:r>
        <w:rPr>
          <w:rFonts w:cstheme="minorHAnsi"/>
          <w:color w:val="161616"/>
          <w:lang w:val="en-GB"/>
        </w:rPr>
        <w:t xml:space="preserve"> on its ad hoc visit to Greece between 22 November and 1 December 2021 – see the </w:t>
      </w:r>
      <w:hyperlink r:id="rId30" w:history="1">
        <w:r w:rsidRPr="00CC535F">
          <w:rPr>
            <w:rStyle w:val="Hyperlink"/>
            <w:rFonts w:cstheme="minorHAnsi"/>
            <w:lang w:val="en-GB"/>
          </w:rPr>
          <w:t>response</w:t>
        </w:r>
      </w:hyperlink>
      <w:r>
        <w:rPr>
          <w:rFonts w:cstheme="minorHAnsi"/>
          <w:color w:val="161616"/>
          <w:lang w:val="en-GB"/>
        </w:rPr>
        <w:t xml:space="preserve"> of the Greek authorities and the </w:t>
      </w:r>
      <w:hyperlink r:id="rId31" w:history="1">
        <w:r w:rsidRPr="00CC535F">
          <w:rPr>
            <w:rStyle w:val="Hyperlink"/>
            <w:rFonts w:cstheme="minorHAnsi"/>
            <w:lang w:val="en-GB"/>
          </w:rPr>
          <w:t>press release</w:t>
        </w:r>
      </w:hyperlink>
      <w:r>
        <w:rPr>
          <w:rFonts w:cstheme="minorHAnsi"/>
          <w:color w:val="161616"/>
          <w:lang w:val="en-GB"/>
        </w:rPr>
        <w:t>. The CPT delegation also held high level talks in Greece on prison reform (</w:t>
      </w:r>
      <w:hyperlink r:id="rId32" w:history="1">
        <w:r w:rsidRPr="00CC535F">
          <w:rPr>
            <w:rStyle w:val="Hyperlink"/>
            <w:rFonts w:cstheme="minorHAnsi"/>
            <w:lang w:val="en-GB"/>
          </w:rPr>
          <w:t>press release</w:t>
        </w:r>
      </w:hyperlink>
      <w:r>
        <w:rPr>
          <w:rFonts w:cstheme="minorHAnsi"/>
          <w:color w:val="161616"/>
          <w:lang w:val="en-GB"/>
        </w:rPr>
        <w:t>). The CPT also carried an ad hoc visit to Greece from 8 to 11 November 2022 (</w:t>
      </w:r>
      <w:hyperlink r:id="rId33" w:history="1">
        <w:r w:rsidRPr="00CC535F">
          <w:rPr>
            <w:rStyle w:val="Hyperlink"/>
            <w:rFonts w:cstheme="minorHAnsi"/>
            <w:lang w:val="en-GB"/>
          </w:rPr>
          <w:t>press release</w:t>
        </w:r>
      </w:hyperlink>
      <w:r>
        <w:rPr>
          <w:rFonts w:cstheme="minorHAnsi"/>
          <w:color w:val="161616"/>
          <w:lang w:val="en-GB"/>
        </w:rPr>
        <w:t xml:space="preserve">). </w:t>
      </w:r>
    </w:p>
    <w:p w14:paraId="5C79AE80" w14:textId="69D278CD" w:rsidR="004A628B" w:rsidRPr="00D200A4" w:rsidRDefault="004A628B" w:rsidP="004A628B">
      <w:pPr>
        <w:pStyle w:val="Heading1"/>
        <w:rPr>
          <w:lang w:val="en-GB"/>
        </w:rPr>
      </w:pPr>
      <w:bookmarkStart w:id="1" w:name="_Toc36635832"/>
      <w:r w:rsidRPr="00D200A4">
        <w:rPr>
          <w:lang w:val="en-GB"/>
        </w:rPr>
        <w:t>II Anti-corruption framework</w:t>
      </w:r>
      <w:bookmarkEnd w:id="1"/>
      <w:r w:rsidRPr="00D200A4">
        <w:rPr>
          <w:lang w:val="en-GB"/>
        </w:rPr>
        <w:t xml:space="preserve"> </w:t>
      </w:r>
    </w:p>
    <w:p w14:paraId="4328586A" w14:textId="77777777" w:rsidR="004A628B" w:rsidRPr="00D200A4" w:rsidRDefault="004A628B" w:rsidP="004A628B">
      <w:pPr>
        <w:pStyle w:val="Default"/>
        <w:ind w:left="1080"/>
        <w:rPr>
          <w:color w:val="auto"/>
          <w:sz w:val="22"/>
          <w:szCs w:val="22"/>
          <w:lang w:val="en-GB"/>
        </w:rPr>
      </w:pPr>
    </w:p>
    <w:p w14:paraId="78CA8BA6" w14:textId="77777777" w:rsidR="007874B9" w:rsidRPr="007874B9" w:rsidRDefault="00F13026" w:rsidP="007874B9">
      <w:pPr>
        <w:pStyle w:val="NoSpacing"/>
        <w:rPr>
          <w:rStyle w:val="Hyperlink"/>
          <w:rFonts w:ascii="Calibri" w:hAnsi="Calibri" w:cs="Calibri"/>
          <w:b/>
          <w:bCs/>
          <w:lang w:val="en-GB"/>
        </w:rPr>
      </w:pPr>
      <w:hyperlink r:id="rId34" w:history="1">
        <w:r w:rsidR="007874B9" w:rsidRPr="007874B9">
          <w:rPr>
            <w:rStyle w:val="Hyperlink"/>
            <w:rFonts w:ascii="Calibri" w:hAnsi="Calibri" w:cs="Calibri"/>
            <w:lang w:val="en-GB"/>
          </w:rPr>
          <w:t>GRECO Evaluation Report</w:t>
        </w:r>
      </w:hyperlink>
      <w:r w:rsidR="007874B9" w:rsidRPr="007874B9">
        <w:rPr>
          <w:rStyle w:val="Hyperlink"/>
          <w:rFonts w:ascii="Calibri" w:hAnsi="Calibri" w:cs="Calibri"/>
          <w:color w:val="auto"/>
          <w:u w:val="none"/>
          <w:lang w:val="en-GB"/>
        </w:rPr>
        <w:t xml:space="preserve"> (3 March 2022)</w:t>
      </w:r>
    </w:p>
    <w:p w14:paraId="0D5C5578" w14:textId="77777777" w:rsidR="007874B9" w:rsidRPr="007874B9" w:rsidRDefault="007874B9" w:rsidP="007874B9">
      <w:pPr>
        <w:rPr>
          <w:lang w:val="en-US"/>
        </w:rPr>
      </w:pPr>
      <w:r w:rsidRPr="007874B9">
        <w:rPr>
          <w:lang w:val="en-US"/>
        </w:rPr>
        <w:t>5</w:t>
      </w:r>
      <w:r w:rsidRPr="007874B9">
        <w:rPr>
          <w:vertAlign w:val="superscript"/>
          <w:lang w:val="en-US"/>
        </w:rPr>
        <w:t>th</w:t>
      </w:r>
      <w:r w:rsidRPr="007874B9">
        <w:rPr>
          <w:lang w:val="en-US"/>
        </w:rPr>
        <w:t xml:space="preserve"> round: corruption prevention in respect of central government, including the top executive functions, and law enforcement</w:t>
      </w:r>
    </w:p>
    <w:p w14:paraId="2A47A14E" w14:textId="77777777" w:rsidR="007874B9" w:rsidRPr="007874B9" w:rsidRDefault="007874B9" w:rsidP="007874B9">
      <w:pPr>
        <w:pStyle w:val="NoSpacing"/>
        <w:rPr>
          <w:lang w:val="en-GB"/>
        </w:rPr>
      </w:pPr>
    </w:p>
    <w:p w14:paraId="1903F678" w14:textId="77777777" w:rsidR="007874B9" w:rsidRPr="007874B9" w:rsidRDefault="00F13026" w:rsidP="007874B9">
      <w:pPr>
        <w:pStyle w:val="NoSpacing"/>
        <w:rPr>
          <w:rStyle w:val="Hyperlink"/>
          <w:rFonts w:ascii="Calibri" w:hAnsi="Calibri" w:cs="Calibri"/>
          <w:b/>
          <w:bCs/>
          <w:lang w:val="en-GB"/>
        </w:rPr>
      </w:pPr>
      <w:hyperlink r:id="rId35" w:history="1">
        <w:r w:rsidR="007874B9" w:rsidRPr="007874B9">
          <w:rPr>
            <w:rStyle w:val="Hyperlink"/>
            <w:shd w:val="clear" w:color="auto" w:fill="FFFFFF"/>
            <w:lang w:val="en-GB"/>
          </w:rPr>
          <w:t>GRECO 2nd follow-up to the ad hoc (Rule 34) report</w:t>
        </w:r>
      </w:hyperlink>
      <w:r w:rsidR="007874B9" w:rsidRPr="007874B9">
        <w:rPr>
          <w:rStyle w:val="Hyperlink"/>
          <w:shd w:val="clear" w:color="auto" w:fill="FFFFFF"/>
          <w:lang w:val="en-GB"/>
        </w:rPr>
        <w:t xml:space="preserve"> </w:t>
      </w:r>
      <w:r w:rsidR="007874B9" w:rsidRPr="007874B9">
        <w:rPr>
          <w:rStyle w:val="Hyperlink"/>
          <w:rFonts w:ascii="Calibri" w:hAnsi="Calibri" w:cs="Calibri"/>
          <w:color w:val="auto"/>
          <w:u w:val="none"/>
          <w:lang w:val="en-GB"/>
        </w:rPr>
        <w:t>(3 March 2022)</w:t>
      </w:r>
    </w:p>
    <w:p w14:paraId="481317DC" w14:textId="77777777" w:rsidR="007874B9" w:rsidRPr="007874B9" w:rsidRDefault="007874B9" w:rsidP="007874B9">
      <w:pPr>
        <w:pStyle w:val="Default"/>
        <w:rPr>
          <w:color w:val="auto"/>
          <w:sz w:val="20"/>
          <w:szCs w:val="20"/>
          <w:lang w:val="en-GB"/>
        </w:rPr>
      </w:pPr>
      <w:r w:rsidRPr="007874B9">
        <w:rPr>
          <w:color w:val="auto"/>
          <w:sz w:val="20"/>
          <w:szCs w:val="20"/>
          <w:lang w:val="en-GB"/>
        </w:rPr>
        <w:t>Rule 34 Report: Follow-up report to the Ad hoc report on Greece (Rule 34)</w:t>
      </w:r>
    </w:p>
    <w:p w14:paraId="1F872A97" w14:textId="77777777" w:rsidR="007874B9" w:rsidRPr="007874B9" w:rsidRDefault="007874B9" w:rsidP="007874B9">
      <w:pPr>
        <w:pStyle w:val="Default"/>
        <w:rPr>
          <w:color w:val="auto"/>
          <w:sz w:val="20"/>
          <w:szCs w:val="20"/>
          <w:lang w:val="en-GB"/>
        </w:rPr>
      </w:pPr>
    </w:p>
    <w:p w14:paraId="1F79AA44" w14:textId="77777777" w:rsidR="007874B9" w:rsidRPr="007874B9" w:rsidRDefault="00F13026" w:rsidP="007874B9">
      <w:pPr>
        <w:pStyle w:val="Default"/>
        <w:rPr>
          <w:color w:val="auto"/>
          <w:sz w:val="20"/>
          <w:szCs w:val="20"/>
          <w:lang w:val="en-GB"/>
        </w:rPr>
      </w:pPr>
      <w:hyperlink r:id="rId36" w:history="1">
        <w:r w:rsidR="007874B9" w:rsidRPr="007874B9">
          <w:rPr>
            <w:rStyle w:val="Hyperlink"/>
            <w:sz w:val="20"/>
            <w:szCs w:val="20"/>
            <w:shd w:val="clear" w:color="auto" w:fill="FFFFFF"/>
            <w:lang w:val="en-GB"/>
          </w:rPr>
          <w:t>GRECO Addendum to the 2nd Compliance Report</w:t>
        </w:r>
      </w:hyperlink>
      <w:r w:rsidR="007874B9" w:rsidRPr="007874B9">
        <w:rPr>
          <w:rStyle w:val="Hyperlink"/>
          <w:sz w:val="20"/>
          <w:szCs w:val="20"/>
          <w:u w:val="none"/>
          <w:shd w:val="clear" w:color="auto" w:fill="FFFFFF"/>
          <w:lang w:val="en-GB"/>
        </w:rPr>
        <w:t xml:space="preserve"> </w:t>
      </w:r>
      <w:r w:rsidR="007874B9" w:rsidRPr="007874B9">
        <w:rPr>
          <w:rStyle w:val="Hyperlink"/>
          <w:color w:val="auto"/>
          <w:sz w:val="20"/>
          <w:szCs w:val="20"/>
          <w:u w:val="none"/>
          <w:shd w:val="clear" w:color="auto" w:fill="FFFFFF"/>
          <w:lang w:val="en-GB"/>
        </w:rPr>
        <w:t>(</w:t>
      </w:r>
      <w:r w:rsidR="007874B9" w:rsidRPr="007874B9">
        <w:rPr>
          <w:color w:val="auto"/>
          <w:sz w:val="20"/>
          <w:szCs w:val="20"/>
          <w:lang w:val="en-GB"/>
        </w:rPr>
        <w:t>1 June 2022)</w:t>
      </w:r>
    </w:p>
    <w:p w14:paraId="6B74CA91" w14:textId="485A12CF" w:rsidR="007F33EB" w:rsidRPr="007874B9" w:rsidRDefault="007874B9" w:rsidP="007F33EB">
      <w:pPr>
        <w:rPr>
          <w:rStyle w:val="Hyperlink"/>
          <w:color w:val="auto"/>
          <w:u w:val="none"/>
          <w:lang w:val="en-GB"/>
        </w:rPr>
      </w:pPr>
      <w:r w:rsidRPr="007874B9">
        <w:rPr>
          <w:lang w:val="en-GB"/>
        </w:rPr>
        <w:t xml:space="preserve">4th round: Second Compliance Report corruption prevention in respect of MPs, </w:t>
      </w:r>
      <w:proofErr w:type="gramStart"/>
      <w:r w:rsidRPr="007874B9">
        <w:rPr>
          <w:lang w:val="en-GB"/>
        </w:rPr>
        <w:t>judges</w:t>
      </w:r>
      <w:proofErr w:type="gramEnd"/>
      <w:r w:rsidRPr="007874B9">
        <w:rPr>
          <w:lang w:val="en-GB"/>
        </w:rPr>
        <w:t xml:space="preserve"> and prosecutors</w:t>
      </w:r>
    </w:p>
    <w:p w14:paraId="3F060345" w14:textId="542A404E"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123EE2A8" w14:textId="77777777" w:rsidR="00F13026" w:rsidRDefault="00F13026" w:rsidP="007874B9">
      <w:pPr>
        <w:rPr>
          <w:lang w:val="en-US"/>
        </w:rPr>
      </w:pPr>
    </w:p>
    <w:p w14:paraId="7F514783" w14:textId="747A4891" w:rsidR="00CF353E" w:rsidRPr="007874B9" w:rsidRDefault="007874B9" w:rsidP="007874B9">
      <w:pPr>
        <w:rPr>
          <w:lang w:val="en-US"/>
        </w:rPr>
      </w:pPr>
      <w:r>
        <w:rPr>
          <w:lang w:val="en-US"/>
        </w:rPr>
        <w:t>N/A</w:t>
      </w:r>
    </w:p>
    <w:p w14:paraId="3E1F9863" w14:textId="5A9977F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76C08EDC" w14:textId="77777777" w:rsidR="00F13026" w:rsidRDefault="00F13026" w:rsidP="007874B9">
      <w:pPr>
        <w:rPr>
          <w:lang w:val="en-US"/>
        </w:rPr>
      </w:pPr>
    </w:p>
    <w:p w14:paraId="1A7315B5" w14:textId="118A03CD" w:rsidR="007874B9" w:rsidRPr="00D44AED" w:rsidRDefault="007874B9" w:rsidP="007874B9">
      <w:pPr>
        <w:rPr>
          <w:lang w:val="en-US"/>
        </w:rPr>
      </w:pPr>
      <w:r>
        <w:rPr>
          <w:lang w:val="en-US"/>
        </w:rPr>
        <w:t>N/A</w:t>
      </w:r>
    </w:p>
    <w:p w14:paraId="4C9C1233" w14:textId="77777777" w:rsidR="007874B9" w:rsidRPr="007874B9" w:rsidRDefault="007874B9" w:rsidP="007874B9">
      <w:pPr>
        <w:rPr>
          <w:lang w:val="en-US"/>
        </w:rPr>
      </w:pPr>
    </w:p>
    <w:p w14:paraId="41620903" w14:textId="2731B520" w:rsidR="00C31706" w:rsidRDefault="00C31706" w:rsidP="007874B9">
      <w:pPr>
        <w:pStyle w:val="Heading2"/>
        <w:rPr>
          <w:lang w:val="en-US"/>
        </w:rPr>
      </w:pPr>
    </w:p>
    <w:p w14:paraId="64360C7F" w14:textId="77777777" w:rsidR="00724C86" w:rsidRPr="00724C86" w:rsidRDefault="00724C86">
      <w:pPr>
        <w:rPr>
          <w:rFonts w:cs="Arial"/>
          <w:color w:val="FFFFFF" w:themeColor="background1"/>
          <w:sz w:val="22"/>
          <w:szCs w:val="22"/>
          <w:shd w:val="clear" w:color="auto" w:fill="1F3864" w:themeFill="accent1" w:themeFillShade="80"/>
          <w:lang w:val="en-US"/>
        </w:rPr>
      </w:pPr>
    </w:p>
    <w:sectPr w:rsidR="00724C86" w:rsidRPr="00724C86" w:rsidSect="007B3B82">
      <w:footerReference w:type="default" r:id="rId37"/>
      <w:footerReference w:type="first" r:id="rId3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F3606" w14:textId="77777777" w:rsidR="00D72B56" w:rsidRDefault="00D72B56" w:rsidP="00857FF1">
      <w:r>
        <w:separator/>
      </w:r>
    </w:p>
  </w:endnote>
  <w:endnote w:type="continuationSeparator" w:id="0">
    <w:p w14:paraId="1864C2EE" w14:textId="77777777" w:rsidR="00D72B56" w:rsidRDefault="00D72B56"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EC470" w14:textId="77777777" w:rsidR="00D72B56" w:rsidRDefault="00D72B56" w:rsidP="00857FF1">
      <w:r>
        <w:separator/>
      </w:r>
    </w:p>
  </w:footnote>
  <w:footnote w:type="continuationSeparator" w:id="0">
    <w:p w14:paraId="43E07DFC" w14:textId="77777777" w:rsidR="00D72B56" w:rsidRDefault="00D72B56"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CED06DC"/>
    <w:multiLevelType w:val="hybridMultilevel"/>
    <w:tmpl w:val="0FC0AFBE"/>
    <w:lvl w:ilvl="0" w:tplc="423A3FCE">
      <w:start w:val="3"/>
      <w:numFmt w:val="bullet"/>
      <w:lvlText w:val="-"/>
      <w:lvlJc w:val="left"/>
      <w:pPr>
        <w:ind w:left="360" w:hanging="360"/>
      </w:pPr>
      <w:rPr>
        <w:rFonts w:ascii="Calibri" w:eastAsiaTheme="minorEastAs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67233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96191">
    <w:abstractNumId w:val="3"/>
  </w:num>
  <w:num w:numId="3" w16cid:durableId="1140997322">
    <w:abstractNumId w:val="4"/>
  </w:num>
  <w:num w:numId="4" w16cid:durableId="732659629">
    <w:abstractNumId w:val="7"/>
  </w:num>
  <w:num w:numId="5" w16cid:durableId="1043288584">
    <w:abstractNumId w:val="5"/>
  </w:num>
  <w:num w:numId="6" w16cid:durableId="1272589437">
    <w:abstractNumId w:val="5"/>
  </w:num>
  <w:num w:numId="7" w16cid:durableId="514460928">
    <w:abstractNumId w:val="1"/>
  </w:num>
  <w:num w:numId="8" w16cid:durableId="983775828">
    <w:abstractNumId w:val="6"/>
  </w:num>
  <w:num w:numId="9" w16cid:durableId="718624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27F5"/>
    <w:rsid w:val="00057AA5"/>
    <w:rsid w:val="00065E91"/>
    <w:rsid w:val="000742FC"/>
    <w:rsid w:val="00087F28"/>
    <w:rsid w:val="000A18E3"/>
    <w:rsid w:val="000C2797"/>
    <w:rsid w:val="000E51C1"/>
    <w:rsid w:val="001100EB"/>
    <w:rsid w:val="00114181"/>
    <w:rsid w:val="00116878"/>
    <w:rsid w:val="00116C82"/>
    <w:rsid w:val="001257E8"/>
    <w:rsid w:val="00126F4E"/>
    <w:rsid w:val="00132DE6"/>
    <w:rsid w:val="00135E23"/>
    <w:rsid w:val="00147435"/>
    <w:rsid w:val="00152FC1"/>
    <w:rsid w:val="00167680"/>
    <w:rsid w:val="00172847"/>
    <w:rsid w:val="00194CC7"/>
    <w:rsid w:val="001A0B36"/>
    <w:rsid w:val="001C7502"/>
    <w:rsid w:val="001C77D8"/>
    <w:rsid w:val="001D0AE0"/>
    <w:rsid w:val="001F0282"/>
    <w:rsid w:val="001F13C9"/>
    <w:rsid w:val="002027E7"/>
    <w:rsid w:val="0021059A"/>
    <w:rsid w:val="002133AD"/>
    <w:rsid w:val="0021638C"/>
    <w:rsid w:val="002173B7"/>
    <w:rsid w:val="00235A95"/>
    <w:rsid w:val="0024239A"/>
    <w:rsid w:val="00254902"/>
    <w:rsid w:val="00276E15"/>
    <w:rsid w:val="00282225"/>
    <w:rsid w:val="002A19A5"/>
    <w:rsid w:val="002A6FA4"/>
    <w:rsid w:val="002B2FF2"/>
    <w:rsid w:val="002C68B0"/>
    <w:rsid w:val="002E383F"/>
    <w:rsid w:val="00303229"/>
    <w:rsid w:val="00316454"/>
    <w:rsid w:val="00316B19"/>
    <w:rsid w:val="003209AA"/>
    <w:rsid w:val="0036115E"/>
    <w:rsid w:val="00362454"/>
    <w:rsid w:val="00372B8F"/>
    <w:rsid w:val="003C15A1"/>
    <w:rsid w:val="003F0C2C"/>
    <w:rsid w:val="0041125F"/>
    <w:rsid w:val="00421A56"/>
    <w:rsid w:val="00430CCD"/>
    <w:rsid w:val="004449F8"/>
    <w:rsid w:val="00450127"/>
    <w:rsid w:val="00462B02"/>
    <w:rsid w:val="00465AA5"/>
    <w:rsid w:val="00471313"/>
    <w:rsid w:val="00476219"/>
    <w:rsid w:val="004A628B"/>
    <w:rsid w:val="004B0069"/>
    <w:rsid w:val="004C6C4D"/>
    <w:rsid w:val="004D093D"/>
    <w:rsid w:val="004E324B"/>
    <w:rsid w:val="004F0C46"/>
    <w:rsid w:val="00521240"/>
    <w:rsid w:val="0053674A"/>
    <w:rsid w:val="005421FE"/>
    <w:rsid w:val="005623FD"/>
    <w:rsid w:val="0056500C"/>
    <w:rsid w:val="0057123C"/>
    <w:rsid w:val="005728A3"/>
    <w:rsid w:val="0057417B"/>
    <w:rsid w:val="005A4D66"/>
    <w:rsid w:val="0061160F"/>
    <w:rsid w:val="0065310F"/>
    <w:rsid w:val="00661ABE"/>
    <w:rsid w:val="00680789"/>
    <w:rsid w:val="006A1641"/>
    <w:rsid w:val="006A6A42"/>
    <w:rsid w:val="006B6601"/>
    <w:rsid w:val="006D3771"/>
    <w:rsid w:val="006E2BC4"/>
    <w:rsid w:val="00717EDB"/>
    <w:rsid w:val="00724C86"/>
    <w:rsid w:val="00734D8B"/>
    <w:rsid w:val="00742FA8"/>
    <w:rsid w:val="00781B90"/>
    <w:rsid w:val="007874B9"/>
    <w:rsid w:val="007959C1"/>
    <w:rsid w:val="007B3B82"/>
    <w:rsid w:val="007C2137"/>
    <w:rsid w:val="007D198D"/>
    <w:rsid w:val="007E6B64"/>
    <w:rsid w:val="007F33EB"/>
    <w:rsid w:val="008041D0"/>
    <w:rsid w:val="00813655"/>
    <w:rsid w:val="00857FF1"/>
    <w:rsid w:val="00860CDF"/>
    <w:rsid w:val="00877E37"/>
    <w:rsid w:val="00887319"/>
    <w:rsid w:val="008B6E05"/>
    <w:rsid w:val="00906B87"/>
    <w:rsid w:val="0092605E"/>
    <w:rsid w:val="00964599"/>
    <w:rsid w:val="00994EB6"/>
    <w:rsid w:val="009C7339"/>
    <w:rsid w:val="009D1CDA"/>
    <w:rsid w:val="009D5FD8"/>
    <w:rsid w:val="009D68A7"/>
    <w:rsid w:val="009E3236"/>
    <w:rsid w:val="009E4C05"/>
    <w:rsid w:val="009F1F10"/>
    <w:rsid w:val="00A053C6"/>
    <w:rsid w:val="00A07C1B"/>
    <w:rsid w:val="00A17A7C"/>
    <w:rsid w:val="00A2018A"/>
    <w:rsid w:val="00A21971"/>
    <w:rsid w:val="00A22BC9"/>
    <w:rsid w:val="00A52988"/>
    <w:rsid w:val="00A54D19"/>
    <w:rsid w:val="00A66980"/>
    <w:rsid w:val="00AA29AA"/>
    <w:rsid w:val="00AB6768"/>
    <w:rsid w:val="00AC541D"/>
    <w:rsid w:val="00AC67C3"/>
    <w:rsid w:val="00AD3544"/>
    <w:rsid w:val="00AD5BD0"/>
    <w:rsid w:val="00AF0FCF"/>
    <w:rsid w:val="00B24C52"/>
    <w:rsid w:val="00B35012"/>
    <w:rsid w:val="00B36582"/>
    <w:rsid w:val="00B478CE"/>
    <w:rsid w:val="00B7535B"/>
    <w:rsid w:val="00B807B6"/>
    <w:rsid w:val="00B940EA"/>
    <w:rsid w:val="00BD26EA"/>
    <w:rsid w:val="00BE7709"/>
    <w:rsid w:val="00BF2293"/>
    <w:rsid w:val="00BF5595"/>
    <w:rsid w:val="00C31706"/>
    <w:rsid w:val="00C45527"/>
    <w:rsid w:val="00C54EC1"/>
    <w:rsid w:val="00C62C35"/>
    <w:rsid w:val="00C72D46"/>
    <w:rsid w:val="00C75135"/>
    <w:rsid w:val="00C86F4B"/>
    <w:rsid w:val="00C8701B"/>
    <w:rsid w:val="00CB3829"/>
    <w:rsid w:val="00CB589A"/>
    <w:rsid w:val="00CC535F"/>
    <w:rsid w:val="00CC7395"/>
    <w:rsid w:val="00CE28C3"/>
    <w:rsid w:val="00CF1C6F"/>
    <w:rsid w:val="00CF353E"/>
    <w:rsid w:val="00D200A4"/>
    <w:rsid w:val="00D20872"/>
    <w:rsid w:val="00D26D6B"/>
    <w:rsid w:val="00D30C12"/>
    <w:rsid w:val="00D37016"/>
    <w:rsid w:val="00D44AED"/>
    <w:rsid w:val="00D72B56"/>
    <w:rsid w:val="00D85DBE"/>
    <w:rsid w:val="00DB5ADD"/>
    <w:rsid w:val="00DC0C05"/>
    <w:rsid w:val="00DC7320"/>
    <w:rsid w:val="00DF7C08"/>
    <w:rsid w:val="00E008EA"/>
    <w:rsid w:val="00E04D4A"/>
    <w:rsid w:val="00E147EE"/>
    <w:rsid w:val="00E363F1"/>
    <w:rsid w:val="00E40CD3"/>
    <w:rsid w:val="00E618C3"/>
    <w:rsid w:val="00E8329E"/>
    <w:rsid w:val="00EA66BF"/>
    <w:rsid w:val="00ED710F"/>
    <w:rsid w:val="00EE0DD2"/>
    <w:rsid w:val="00F070DD"/>
    <w:rsid w:val="00F13026"/>
    <w:rsid w:val="00F3151D"/>
    <w:rsid w:val="00F46EB9"/>
    <w:rsid w:val="00F71177"/>
    <w:rsid w:val="00F847EB"/>
    <w:rsid w:val="00F91B36"/>
    <w:rsid w:val="00FA480D"/>
    <w:rsid w:val="00FA737C"/>
    <w:rsid w:val="00FC5ACC"/>
    <w:rsid w:val="00FF6A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AA5"/>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724C86"/>
  </w:style>
  <w:style w:type="paragraph" w:customStyle="1" w:styleId="COEHI">
    <w:name w:val="COE_HI"/>
    <w:basedOn w:val="Normal"/>
    <w:qFormat/>
    <w:rsid w:val="00AA29AA"/>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21A56"/>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21A56"/>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21A56"/>
    <w:rPr>
      <w:rFonts w:ascii="Calibri" w:eastAsiaTheme="minorHAnsi" w:hAnsi="Calibri" w:cs="Calibri"/>
      <w:sz w:val="22"/>
      <w:szCs w:val="22"/>
      <w:lang w:eastAsia="fr-FR"/>
    </w:rPr>
  </w:style>
  <w:style w:type="paragraph" w:customStyle="1" w:styleId="xxxxxmsonormal">
    <w:name w:val="x_x_x_x_xmsonormal"/>
    <w:basedOn w:val="Normal"/>
    <w:rsid w:val="0057417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D710F"/>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5213">
      <w:bodyDiv w:val="1"/>
      <w:marLeft w:val="0"/>
      <w:marRight w:val="0"/>
      <w:marTop w:val="0"/>
      <w:marBottom w:val="0"/>
      <w:divBdr>
        <w:top w:val="none" w:sz="0" w:space="0" w:color="auto"/>
        <w:left w:val="none" w:sz="0" w:space="0" w:color="auto"/>
        <w:bottom w:val="none" w:sz="0" w:space="0" w:color="auto"/>
        <w:right w:val="none" w:sz="0" w:space="0" w:color="auto"/>
      </w:divBdr>
    </w:div>
    <w:div w:id="36198147">
      <w:bodyDiv w:val="1"/>
      <w:marLeft w:val="0"/>
      <w:marRight w:val="0"/>
      <w:marTop w:val="0"/>
      <w:marBottom w:val="0"/>
      <w:divBdr>
        <w:top w:val="none" w:sz="0" w:space="0" w:color="auto"/>
        <w:left w:val="none" w:sz="0" w:space="0" w:color="auto"/>
        <w:bottom w:val="none" w:sz="0" w:space="0" w:color="auto"/>
        <w:right w:val="none" w:sz="0" w:space="0" w:color="auto"/>
      </w:divBdr>
    </w:div>
    <w:div w:id="163981895">
      <w:bodyDiv w:val="1"/>
      <w:marLeft w:val="0"/>
      <w:marRight w:val="0"/>
      <w:marTop w:val="0"/>
      <w:marBottom w:val="0"/>
      <w:divBdr>
        <w:top w:val="none" w:sz="0" w:space="0" w:color="auto"/>
        <w:left w:val="none" w:sz="0" w:space="0" w:color="auto"/>
        <w:bottom w:val="none" w:sz="0" w:space="0" w:color="auto"/>
        <w:right w:val="none" w:sz="0" w:space="0" w:color="auto"/>
      </w:divBdr>
    </w:div>
    <w:div w:id="244612114">
      <w:bodyDiv w:val="1"/>
      <w:marLeft w:val="0"/>
      <w:marRight w:val="0"/>
      <w:marTop w:val="0"/>
      <w:marBottom w:val="0"/>
      <w:divBdr>
        <w:top w:val="none" w:sz="0" w:space="0" w:color="auto"/>
        <w:left w:val="none" w:sz="0" w:space="0" w:color="auto"/>
        <w:bottom w:val="none" w:sz="0" w:space="0" w:color="auto"/>
        <w:right w:val="none" w:sz="0" w:space="0" w:color="auto"/>
      </w:divBdr>
    </w:div>
    <w:div w:id="247347920">
      <w:bodyDiv w:val="1"/>
      <w:marLeft w:val="0"/>
      <w:marRight w:val="0"/>
      <w:marTop w:val="0"/>
      <w:marBottom w:val="0"/>
      <w:divBdr>
        <w:top w:val="none" w:sz="0" w:space="0" w:color="auto"/>
        <w:left w:val="none" w:sz="0" w:space="0" w:color="auto"/>
        <w:bottom w:val="none" w:sz="0" w:space="0" w:color="auto"/>
        <w:right w:val="none" w:sz="0" w:space="0" w:color="auto"/>
      </w:divBdr>
    </w:div>
    <w:div w:id="252931788">
      <w:bodyDiv w:val="1"/>
      <w:marLeft w:val="0"/>
      <w:marRight w:val="0"/>
      <w:marTop w:val="0"/>
      <w:marBottom w:val="0"/>
      <w:divBdr>
        <w:top w:val="none" w:sz="0" w:space="0" w:color="auto"/>
        <w:left w:val="none" w:sz="0" w:space="0" w:color="auto"/>
        <w:bottom w:val="none" w:sz="0" w:space="0" w:color="auto"/>
        <w:right w:val="none" w:sz="0" w:space="0" w:color="auto"/>
      </w:divBdr>
    </w:div>
    <w:div w:id="268051543">
      <w:bodyDiv w:val="1"/>
      <w:marLeft w:val="0"/>
      <w:marRight w:val="0"/>
      <w:marTop w:val="0"/>
      <w:marBottom w:val="0"/>
      <w:divBdr>
        <w:top w:val="none" w:sz="0" w:space="0" w:color="auto"/>
        <w:left w:val="none" w:sz="0" w:space="0" w:color="auto"/>
        <w:bottom w:val="none" w:sz="0" w:space="0" w:color="auto"/>
        <w:right w:val="none" w:sz="0" w:space="0" w:color="auto"/>
      </w:divBdr>
    </w:div>
    <w:div w:id="272522745">
      <w:bodyDiv w:val="1"/>
      <w:marLeft w:val="0"/>
      <w:marRight w:val="0"/>
      <w:marTop w:val="0"/>
      <w:marBottom w:val="0"/>
      <w:divBdr>
        <w:top w:val="none" w:sz="0" w:space="0" w:color="auto"/>
        <w:left w:val="none" w:sz="0" w:space="0" w:color="auto"/>
        <w:bottom w:val="none" w:sz="0" w:space="0" w:color="auto"/>
        <w:right w:val="none" w:sz="0" w:space="0" w:color="auto"/>
      </w:divBdr>
    </w:div>
    <w:div w:id="283584967">
      <w:bodyDiv w:val="1"/>
      <w:marLeft w:val="0"/>
      <w:marRight w:val="0"/>
      <w:marTop w:val="0"/>
      <w:marBottom w:val="0"/>
      <w:divBdr>
        <w:top w:val="none" w:sz="0" w:space="0" w:color="auto"/>
        <w:left w:val="none" w:sz="0" w:space="0" w:color="auto"/>
        <w:bottom w:val="none" w:sz="0" w:space="0" w:color="auto"/>
        <w:right w:val="none" w:sz="0" w:space="0" w:color="auto"/>
      </w:divBdr>
    </w:div>
    <w:div w:id="448281952">
      <w:bodyDiv w:val="1"/>
      <w:marLeft w:val="0"/>
      <w:marRight w:val="0"/>
      <w:marTop w:val="0"/>
      <w:marBottom w:val="0"/>
      <w:divBdr>
        <w:top w:val="none" w:sz="0" w:space="0" w:color="auto"/>
        <w:left w:val="none" w:sz="0" w:space="0" w:color="auto"/>
        <w:bottom w:val="none" w:sz="0" w:space="0" w:color="auto"/>
        <w:right w:val="none" w:sz="0" w:space="0" w:color="auto"/>
      </w:divBdr>
    </w:div>
    <w:div w:id="509952427">
      <w:bodyDiv w:val="1"/>
      <w:marLeft w:val="0"/>
      <w:marRight w:val="0"/>
      <w:marTop w:val="0"/>
      <w:marBottom w:val="0"/>
      <w:divBdr>
        <w:top w:val="none" w:sz="0" w:space="0" w:color="auto"/>
        <w:left w:val="none" w:sz="0" w:space="0" w:color="auto"/>
        <w:bottom w:val="none" w:sz="0" w:space="0" w:color="auto"/>
        <w:right w:val="none" w:sz="0" w:space="0" w:color="auto"/>
      </w:divBdr>
    </w:div>
    <w:div w:id="701519876">
      <w:bodyDiv w:val="1"/>
      <w:marLeft w:val="0"/>
      <w:marRight w:val="0"/>
      <w:marTop w:val="0"/>
      <w:marBottom w:val="0"/>
      <w:divBdr>
        <w:top w:val="none" w:sz="0" w:space="0" w:color="auto"/>
        <w:left w:val="none" w:sz="0" w:space="0" w:color="auto"/>
        <w:bottom w:val="none" w:sz="0" w:space="0" w:color="auto"/>
        <w:right w:val="none" w:sz="0" w:space="0" w:color="auto"/>
      </w:divBdr>
    </w:div>
    <w:div w:id="827478147">
      <w:bodyDiv w:val="1"/>
      <w:marLeft w:val="0"/>
      <w:marRight w:val="0"/>
      <w:marTop w:val="0"/>
      <w:marBottom w:val="0"/>
      <w:divBdr>
        <w:top w:val="none" w:sz="0" w:space="0" w:color="auto"/>
        <w:left w:val="none" w:sz="0" w:space="0" w:color="auto"/>
        <w:bottom w:val="none" w:sz="0" w:space="0" w:color="auto"/>
        <w:right w:val="none" w:sz="0" w:space="0" w:color="auto"/>
      </w:divBdr>
    </w:div>
    <w:div w:id="835150989">
      <w:bodyDiv w:val="1"/>
      <w:marLeft w:val="0"/>
      <w:marRight w:val="0"/>
      <w:marTop w:val="0"/>
      <w:marBottom w:val="0"/>
      <w:divBdr>
        <w:top w:val="none" w:sz="0" w:space="0" w:color="auto"/>
        <w:left w:val="none" w:sz="0" w:space="0" w:color="auto"/>
        <w:bottom w:val="none" w:sz="0" w:space="0" w:color="auto"/>
        <w:right w:val="none" w:sz="0" w:space="0" w:color="auto"/>
      </w:divBdr>
    </w:div>
    <w:div w:id="879249978">
      <w:bodyDiv w:val="1"/>
      <w:marLeft w:val="0"/>
      <w:marRight w:val="0"/>
      <w:marTop w:val="0"/>
      <w:marBottom w:val="0"/>
      <w:divBdr>
        <w:top w:val="none" w:sz="0" w:space="0" w:color="auto"/>
        <w:left w:val="none" w:sz="0" w:space="0" w:color="auto"/>
        <w:bottom w:val="none" w:sz="0" w:space="0" w:color="auto"/>
        <w:right w:val="none" w:sz="0" w:space="0" w:color="auto"/>
      </w:divBdr>
    </w:div>
    <w:div w:id="942498503">
      <w:bodyDiv w:val="1"/>
      <w:marLeft w:val="0"/>
      <w:marRight w:val="0"/>
      <w:marTop w:val="0"/>
      <w:marBottom w:val="0"/>
      <w:divBdr>
        <w:top w:val="none" w:sz="0" w:space="0" w:color="auto"/>
        <w:left w:val="none" w:sz="0" w:space="0" w:color="auto"/>
        <w:bottom w:val="none" w:sz="0" w:space="0" w:color="auto"/>
        <w:right w:val="none" w:sz="0" w:space="0" w:color="auto"/>
      </w:divBdr>
    </w:div>
    <w:div w:id="944077757">
      <w:bodyDiv w:val="1"/>
      <w:marLeft w:val="0"/>
      <w:marRight w:val="0"/>
      <w:marTop w:val="0"/>
      <w:marBottom w:val="0"/>
      <w:divBdr>
        <w:top w:val="none" w:sz="0" w:space="0" w:color="auto"/>
        <w:left w:val="none" w:sz="0" w:space="0" w:color="auto"/>
        <w:bottom w:val="none" w:sz="0" w:space="0" w:color="auto"/>
        <w:right w:val="none" w:sz="0" w:space="0" w:color="auto"/>
      </w:divBdr>
    </w:div>
    <w:div w:id="1008942407">
      <w:bodyDiv w:val="1"/>
      <w:marLeft w:val="0"/>
      <w:marRight w:val="0"/>
      <w:marTop w:val="0"/>
      <w:marBottom w:val="0"/>
      <w:divBdr>
        <w:top w:val="none" w:sz="0" w:space="0" w:color="auto"/>
        <w:left w:val="none" w:sz="0" w:space="0" w:color="auto"/>
        <w:bottom w:val="none" w:sz="0" w:space="0" w:color="auto"/>
        <w:right w:val="none" w:sz="0" w:space="0" w:color="auto"/>
      </w:divBdr>
    </w:div>
    <w:div w:id="1035425349">
      <w:bodyDiv w:val="1"/>
      <w:marLeft w:val="0"/>
      <w:marRight w:val="0"/>
      <w:marTop w:val="0"/>
      <w:marBottom w:val="0"/>
      <w:divBdr>
        <w:top w:val="none" w:sz="0" w:space="0" w:color="auto"/>
        <w:left w:val="none" w:sz="0" w:space="0" w:color="auto"/>
        <w:bottom w:val="none" w:sz="0" w:space="0" w:color="auto"/>
        <w:right w:val="none" w:sz="0" w:space="0" w:color="auto"/>
      </w:divBdr>
    </w:div>
    <w:div w:id="1091464265">
      <w:bodyDiv w:val="1"/>
      <w:marLeft w:val="0"/>
      <w:marRight w:val="0"/>
      <w:marTop w:val="0"/>
      <w:marBottom w:val="0"/>
      <w:divBdr>
        <w:top w:val="none" w:sz="0" w:space="0" w:color="auto"/>
        <w:left w:val="none" w:sz="0" w:space="0" w:color="auto"/>
        <w:bottom w:val="none" w:sz="0" w:space="0" w:color="auto"/>
        <w:right w:val="none" w:sz="0" w:space="0" w:color="auto"/>
      </w:divBdr>
    </w:div>
    <w:div w:id="1257909442">
      <w:bodyDiv w:val="1"/>
      <w:marLeft w:val="0"/>
      <w:marRight w:val="0"/>
      <w:marTop w:val="0"/>
      <w:marBottom w:val="0"/>
      <w:divBdr>
        <w:top w:val="none" w:sz="0" w:space="0" w:color="auto"/>
        <w:left w:val="none" w:sz="0" w:space="0" w:color="auto"/>
        <w:bottom w:val="none" w:sz="0" w:space="0" w:color="auto"/>
        <w:right w:val="none" w:sz="0" w:space="0" w:color="auto"/>
      </w:divBdr>
    </w:div>
    <w:div w:id="1280332477">
      <w:bodyDiv w:val="1"/>
      <w:marLeft w:val="0"/>
      <w:marRight w:val="0"/>
      <w:marTop w:val="0"/>
      <w:marBottom w:val="0"/>
      <w:divBdr>
        <w:top w:val="none" w:sz="0" w:space="0" w:color="auto"/>
        <w:left w:val="none" w:sz="0" w:space="0" w:color="auto"/>
        <w:bottom w:val="none" w:sz="0" w:space="0" w:color="auto"/>
        <w:right w:val="none" w:sz="0" w:space="0" w:color="auto"/>
      </w:divBdr>
    </w:div>
    <w:div w:id="1358771535">
      <w:bodyDiv w:val="1"/>
      <w:marLeft w:val="0"/>
      <w:marRight w:val="0"/>
      <w:marTop w:val="0"/>
      <w:marBottom w:val="0"/>
      <w:divBdr>
        <w:top w:val="none" w:sz="0" w:space="0" w:color="auto"/>
        <w:left w:val="none" w:sz="0" w:space="0" w:color="auto"/>
        <w:bottom w:val="none" w:sz="0" w:space="0" w:color="auto"/>
        <w:right w:val="none" w:sz="0" w:space="0" w:color="auto"/>
      </w:divBdr>
    </w:div>
    <w:div w:id="1513958673">
      <w:bodyDiv w:val="1"/>
      <w:marLeft w:val="0"/>
      <w:marRight w:val="0"/>
      <w:marTop w:val="0"/>
      <w:marBottom w:val="0"/>
      <w:divBdr>
        <w:top w:val="none" w:sz="0" w:space="0" w:color="auto"/>
        <w:left w:val="none" w:sz="0" w:space="0" w:color="auto"/>
        <w:bottom w:val="none" w:sz="0" w:space="0" w:color="auto"/>
        <w:right w:val="none" w:sz="0" w:space="0" w:color="auto"/>
      </w:divBdr>
    </w:div>
    <w:div w:id="1632131908">
      <w:bodyDiv w:val="1"/>
      <w:marLeft w:val="0"/>
      <w:marRight w:val="0"/>
      <w:marTop w:val="0"/>
      <w:marBottom w:val="0"/>
      <w:divBdr>
        <w:top w:val="none" w:sz="0" w:space="0" w:color="auto"/>
        <w:left w:val="none" w:sz="0" w:space="0" w:color="auto"/>
        <w:bottom w:val="none" w:sz="0" w:space="0" w:color="auto"/>
        <w:right w:val="none" w:sz="0" w:space="0" w:color="auto"/>
      </w:divBdr>
    </w:div>
    <w:div w:id="1633555805">
      <w:bodyDiv w:val="1"/>
      <w:marLeft w:val="0"/>
      <w:marRight w:val="0"/>
      <w:marTop w:val="0"/>
      <w:marBottom w:val="0"/>
      <w:divBdr>
        <w:top w:val="none" w:sz="0" w:space="0" w:color="auto"/>
        <w:left w:val="none" w:sz="0" w:space="0" w:color="auto"/>
        <w:bottom w:val="none" w:sz="0" w:space="0" w:color="auto"/>
        <w:right w:val="none" w:sz="0" w:space="0" w:color="auto"/>
      </w:divBdr>
    </w:div>
    <w:div w:id="1672946216">
      <w:bodyDiv w:val="1"/>
      <w:marLeft w:val="0"/>
      <w:marRight w:val="0"/>
      <w:marTop w:val="0"/>
      <w:marBottom w:val="0"/>
      <w:divBdr>
        <w:top w:val="none" w:sz="0" w:space="0" w:color="auto"/>
        <w:left w:val="none" w:sz="0" w:space="0" w:color="auto"/>
        <w:bottom w:val="none" w:sz="0" w:space="0" w:color="auto"/>
        <w:right w:val="none" w:sz="0" w:space="0" w:color="auto"/>
      </w:divBdr>
    </w:div>
    <w:div w:id="1892306166">
      <w:bodyDiv w:val="1"/>
      <w:marLeft w:val="0"/>
      <w:marRight w:val="0"/>
      <w:marTop w:val="0"/>
      <w:marBottom w:val="0"/>
      <w:divBdr>
        <w:top w:val="none" w:sz="0" w:space="0" w:color="auto"/>
        <w:left w:val="none" w:sz="0" w:space="0" w:color="auto"/>
        <w:bottom w:val="none" w:sz="0" w:space="0" w:color="auto"/>
        <w:right w:val="none" w:sz="0" w:space="0" w:color="auto"/>
      </w:divBdr>
    </w:div>
    <w:div w:id="1905606434">
      <w:bodyDiv w:val="1"/>
      <w:marLeft w:val="0"/>
      <w:marRight w:val="0"/>
      <w:marTop w:val="0"/>
      <w:marBottom w:val="0"/>
      <w:divBdr>
        <w:top w:val="none" w:sz="0" w:space="0" w:color="auto"/>
        <w:left w:val="none" w:sz="0" w:space="0" w:color="auto"/>
        <w:bottom w:val="none" w:sz="0" w:space="0" w:color="auto"/>
        <w:right w:val="none" w:sz="0" w:space="0" w:color="auto"/>
      </w:divBdr>
    </w:div>
    <w:div w:id="1976527519">
      <w:bodyDiv w:val="1"/>
      <w:marLeft w:val="0"/>
      <w:marRight w:val="0"/>
      <w:marTop w:val="0"/>
      <w:marBottom w:val="0"/>
      <w:divBdr>
        <w:top w:val="none" w:sz="0" w:space="0" w:color="auto"/>
        <w:left w:val="none" w:sz="0" w:space="0" w:color="auto"/>
        <w:bottom w:val="none" w:sz="0" w:space="0" w:color="auto"/>
        <w:right w:val="none" w:sz="0" w:space="0" w:color="auto"/>
      </w:divBdr>
    </w:div>
    <w:div w:id="1993412694">
      <w:bodyDiv w:val="1"/>
      <w:marLeft w:val="0"/>
      <w:marRight w:val="0"/>
      <w:marTop w:val="0"/>
      <w:marBottom w:val="0"/>
      <w:divBdr>
        <w:top w:val="none" w:sz="0" w:space="0" w:color="auto"/>
        <w:left w:val="none" w:sz="0" w:space="0" w:color="auto"/>
        <w:bottom w:val="none" w:sz="0" w:space="0" w:color="auto"/>
        <w:right w:val="none" w:sz="0" w:space="0" w:color="auto"/>
      </w:divBdr>
    </w:div>
    <w:div w:id="207940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second-follow-up-report-to-the-ad-hoc-report-on-greece-rule-34-adopted/1680a5a14b" TargetMode="External"/><Relationship Id="rId18" Type="http://schemas.openxmlformats.org/officeDocument/2006/relationships/hyperlink" Target="https://search.coe.int/cm/Pages/result_details.aspx?Reference=CM/Del/Dec(2022)1428/H46-13" TargetMode="External"/><Relationship Id="rId26" Type="http://schemas.openxmlformats.org/officeDocument/2006/relationships/hyperlink" Target="https://hudoc.exec.coe.int/ENG"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oe.int/en/web/execution/recent-achievements/-/asset_publisher/8LSjbtK8AR4u/content/greece-measures-adopted-to-enhance-hate-crime-investigations?_com_liferay_asset_publisher_web_portlet_AssetPublisherPortlet_INSTANCE_8LSjbtK8AR4u_assetEntryId=127243757&amp;_com_liferay_asset_publisher_web_portlet_AssetPublisherPortlet_INSTANCE_8LSjbtK8AR4u_redirect=https%3A%2F%2Fwww.coe.int%2Fen%2Fweb%2Fexecution%2Frecent-achievements%3Fp_p_id%3Dcom_liferay_asset_publisher_web_portlet_AssetPublisherPortlet_INSTANCE_8LSjbtK8AR4u%26p_p_lifecycle%3D0%26p_p_state%3Dnormal%26p_p_mode%3Dview%26_com_liferay_asset_publisher_web_portlet_AssetPublisherPortlet_INSTANCE_8LSjbtK8AR4u_cur%3D2%26_com_liferay_asset_publisher_web_portlet_AssetPublisherPortlet_INSTANCE_8LSjbtK8AR4u_delta%3D10%26p_r_p_resetCur%3Dfalse%26_com_liferay_asset_publisher_web_portlet_AssetPublisherPortlet_INSTANCE_8LSjbtK8AR4u_assetEntryId%3D127243757%23p_com_liferay_asset_publisher_web_portlet_AssetPublisherPortlet_INSTANCE_8LSjbtK8AR4u" TargetMode="External"/><Relationship Id="rId34" Type="http://schemas.openxmlformats.org/officeDocument/2006/relationships/hyperlink" Target="https://rm.coe.int/fifth-evaluation-round-preventing-corruption-and-promoting-integrity-i/1680a5a148" TargetMode="External"/><Relationship Id="rId7" Type="http://schemas.openxmlformats.org/officeDocument/2006/relationships/endnotes" Target="endnotes.xml"/><Relationship Id="rId12" Type="http://schemas.openxmlformats.org/officeDocument/2006/relationships/hyperlink" Target="https://rm.coe.int/fifth-evaluation-round-preventing-corruption-and-promoting-integrity-i/1680a5a148" TargetMode="External"/><Relationship Id="rId17" Type="http://schemas.openxmlformats.org/officeDocument/2006/relationships/hyperlink" Target="https://search.coe.int/cm/Pages/result_details.aspx?Reference=CM/Del/Dec(2022)1436/H46-8" TargetMode="External"/><Relationship Id="rId25" Type="http://schemas.openxmlformats.org/officeDocument/2006/relationships/hyperlink" Target="https://www.coe.int/en/web/execution/recent-achievements/-/asset_publisher/8LSjbtK8AR4u/content/greece-new-law-regulates-separated-parents-access-to-children-in-line-with-echr-judgment?_com_liferay_asset_publisher_web_portlet_AssetPublisherPortlet_INSTANCE_8LSjbtK8AR4u_assetEntryId=129665316&amp;_com_liferay_asset_publisher_web_portlet_AssetPublisherPortlet_INSTANCE_8LSjbtK8AR4u_redirect=https%3A%2F%2Fwww.coe.int%2Fen%2Fweb%2Fexecution%2Frecent-achievements%3Fp_p_id%3Dcom_liferay_asset_publisher_web_portlet_AssetPublisherPortlet_INSTANCE_8LSjbtK8AR4u%26p_p_lifecycle%3D0%26p_p_state%3Dnormal%26p_p_mode%3Dview%26_com_liferay_asset_publisher_web_portlet_AssetPublisherPortlet_INSTANCE_8LSjbtK8AR4u_cur%3D1%26_com_liferay_asset_publisher_web_portlet_AssetPublisherPortlet_INSTANCE_8LSjbtK8AR4u_delta%3D10%26p_r_p_resetCur%3Dfalse%26_com_liferay_asset_publisher_web_portlet_AssetPublisherPortlet_INSTANCE_8LSjbtK8AR4u_assetEntryId%3D129665316%23p_com_liferay_asset_publisher_web_portlet_AssetPublisherPortlet_INSTANCE_8LSjbtK8AR4u" TargetMode="External"/><Relationship Id="rId33" Type="http://schemas.openxmlformats.org/officeDocument/2006/relationships/hyperlink" Target="https://www.coe.int/en/web/cpt/-/council-of-europe-anti-torture-committee-carries-out-visit-to-greece"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search.coe.int/cm/Pages/result_details.aspx?Reference=CM/Del/Dec(2022)1451/H46-15" TargetMode="External"/><Relationship Id="rId20" Type="http://schemas.openxmlformats.org/officeDocument/2006/relationships/hyperlink" Target="https://hudoc.echr.coe.int/eng?i=001-161541" TargetMode="External"/><Relationship Id="rId29" Type="http://schemas.openxmlformats.org/officeDocument/2006/relationships/hyperlink" Target="https://rm.coe.int/1680a7ce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web/cepej/country-profiles/greece" TargetMode="External"/><Relationship Id="rId24" Type="http://schemas.openxmlformats.org/officeDocument/2006/relationships/hyperlink" Target="https://hudoc.echr.coe.int/eng" TargetMode="External"/><Relationship Id="rId32" Type="http://schemas.openxmlformats.org/officeDocument/2006/relationships/hyperlink" Target="https://www.coe.int/en/web/cpt/-/the-council-of-europe-anti-torture-committee-held-high-level-talks-in-greece"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e.int/en/web/execution/greece" TargetMode="External"/><Relationship Id="rId23" Type="http://schemas.openxmlformats.org/officeDocument/2006/relationships/hyperlink" Target="https://hudoc.exec.coe.int/eng" TargetMode="External"/><Relationship Id="rId28" Type="http://schemas.openxmlformats.org/officeDocument/2006/relationships/hyperlink" Target="https://hudoc.exec.coe.int/eng" TargetMode="External"/><Relationship Id="rId36" Type="http://schemas.openxmlformats.org/officeDocument/2006/relationships/hyperlink" Target="https://rm.coe.int/fourth-evaluation-round-corruption-prevention-in-respect-of-members-of/1680a6a13a" TargetMode="External"/><Relationship Id="rId10" Type="http://schemas.openxmlformats.org/officeDocument/2006/relationships/hyperlink" Target="https://rm.coe.int/greece-country-fiche/1680a77895" TargetMode="External"/><Relationship Id="rId19" Type="http://schemas.openxmlformats.org/officeDocument/2006/relationships/hyperlink" Target="https://hudoc.echr.coe.int/eng?i=001-161541" TargetMode="External"/><Relationship Id="rId31" Type="http://schemas.openxmlformats.org/officeDocument/2006/relationships/hyperlink" Target="https://www.coe.int/en/web/cpt/-/council-of-europe-anti-torture-committee-publishes-report-on-prisons-in-greece" TargetMode="External"/><Relationship Id="rId4" Type="http://schemas.openxmlformats.org/officeDocument/2006/relationships/settings" Target="settings.xml"/><Relationship Id="rId9" Type="http://schemas.openxmlformats.org/officeDocument/2006/relationships/hyperlink" Target="https://rm.coe.int/country-profile-greece-en/1680a96724" TargetMode="External"/><Relationship Id="rId14" Type="http://schemas.openxmlformats.org/officeDocument/2006/relationships/hyperlink" Target="https://rm.coe.int/fourth-evaluation-round-corruption-prevention-in-respect-of-members-of/1680a6a13a" TargetMode="External"/><Relationship Id="rId22" Type="http://schemas.openxmlformats.org/officeDocument/2006/relationships/hyperlink" Target="https://hudoc.exec.coe.int/eng" TargetMode="External"/><Relationship Id="rId27" Type="http://schemas.openxmlformats.org/officeDocument/2006/relationships/hyperlink" Target="https://www.coe.int/en/web/execution/recent-achievements/-/asset_publisher/8LSjbtK8AR4u/content/greece-legislative-measures-to-tackle-excessive-formalism-by-criminal-courts?_com_liferay_asset_publisher_web_portlet_AssetPublisherPortlet_INSTANCE_8LSjbtK8AR4u_assetEntryId=129802612&amp;_com_liferay_asset_publisher_web_portlet_AssetPublisherPortlet_INSTANCE_8LSjbtK8AR4u_redirect=https%3A%2F%2Fwww.coe.int%2Fen%2Fweb%2Fexecution%2Frecent-achievements%3Fp_p_id%3Dcom_liferay_asset_publisher_web_portlet_AssetPublisherPortlet_INSTANCE_8LSjbtK8AR4u%26p_p_lifecycle%3D0%26p_p_state%3Dnormal%26p_p_mode%3Dview%26_com_liferay_asset_publisher_web_portlet_AssetPublisherPortlet_INSTANCE_8LSjbtK8AR4u_cur%3D1%26_com_liferay_asset_publisher_web_portlet_AssetPublisherPortlet_INSTANCE_8LSjbtK8AR4u_delta%3D10%26p_r_p_resetCur%3Dfalse%26_com_liferay_asset_publisher_web_portlet_AssetPublisherPortlet_INSTANCE_8LSjbtK8AR4u_assetEntryId%3D129802612%23p_com_liferay_asset_publisher_web_portlet_AssetPublisherPortlet_INSTANCE_8LSjbtK8AR4u" TargetMode="External"/><Relationship Id="rId30" Type="http://schemas.openxmlformats.org/officeDocument/2006/relationships/hyperlink" Target="https://rm.coe.int/1680a7ce98" TargetMode="External"/><Relationship Id="rId35" Type="http://schemas.openxmlformats.org/officeDocument/2006/relationships/hyperlink" Target="https://rm.coe.int/second-follow-up-report-to-the-ad-hoc-report-on-greece-rule-34-adopted/1680a5a14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0FC3F-5D3A-4721-AC88-7736C4E3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1366</Words>
  <Characters>7514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NEDELJKOVIC Katarina</cp:lastModifiedBy>
  <cp:revision>4</cp:revision>
  <dcterms:created xsi:type="dcterms:W3CDTF">2023-01-18T15:11:00Z</dcterms:created>
  <dcterms:modified xsi:type="dcterms:W3CDTF">2023-01-19T11:42:00Z</dcterms:modified>
</cp:coreProperties>
</file>